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1560" w:right="1280" w:hanging="600"/>
        <w:spacing w:after="0" w:line="237"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2022</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2" w:lineRule="exact"/>
        <w:rPr>
          <w:sz w:val="24"/>
          <w:szCs w:val="24"/>
          <w:color w:val="auto"/>
        </w:rPr>
      </w:pPr>
    </w:p>
    <w:p>
      <w:pPr>
        <w:ind w:left="1560" w:right="1280" w:hanging="594"/>
        <w:spacing w:after="0" w:line="209"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83"/>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(I.R.S. Employer</w:t>
            </w:r>
          </w:p>
        </w:tc>
      </w:tr>
      <w:tr>
        <w:trPr>
          <w:trHeight w:val="195"/>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70"/>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3"/>
                <w:szCs w:val="23"/>
                <w:color w:val="auto"/>
              </w:rPr>
            </w:pPr>
          </w:p>
        </w:tc>
      </w:tr>
      <w:tr>
        <w:trPr>
          <w:trHeight w:val="216"/>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16"/>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699"/>
              <w:spacing w:after="0"/>
              <w:rPr>
                <w:sz w:val="20"/>
                <w:szCs w:val="20"/>
                <w:color w:val="auto"/>
              </w:rPr>
            </w:pPr>
            <w:r>
              <w:rPr>
                <w:rFonts w:ascii="Arial" w:cs="Arial" w:eastAsia="Arial" w:hAnsi="Arial"/>
                <w:sz w:val="16"/>
                <w:szCs w:val="16"/>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00" w:type="dxa"/>
            <w:vAlign w:val="bottom"/>
            <w:vMerge w:val="restart"/>
          </w:tcPr>
          <w:p>
            <w:pPr>
              <w:spacing w:after="0"/>
              <w:rPr>
                <w:sz w:val="24"/>
                <w:szCs w:val="2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MDLZ28</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April 22, 2022, there were 1,383,923,632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 -</w:t>
            </w:r>
          </w:p>
        </w:tc>
        <w:tc>
          <w:tcPr>
            <w:tcW w:w="87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9"/>
        </w:trPr>
        <w:tc>
          <w:tcPr>
            <w:tcW w:w="1240" w:type="dxa"/>
            <w:vAlign w:val="bottom"/>
            <w:gridSpan w:val="2"/>
            <w:vMerge w:val="continue"/>
          </w:tcPr>
          <w:p>
            <w:pPr>
              <w:spacing w:after="0"/>
              <w:rPr>
                <w:sz w:val="18"/>
                <w:szCs w:val="18"/>
                <w:color w:val="auto"/>
              </w:rPr>
            </w:pPr>
          </w:p>
        </w:tc>
        <w:tc>
          <w:tcPr>
            <w:tcW w:w="8760" w:type="dxa"/>
            <w:vAlign w:val="bottom"/>
            <w:gridSpan w:val="17"/>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4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Earnings</w:t>
              </w:r>
            </w:hyperlink>
          </w:p>
        </w:tc>
        <w:tc>
          <w:tcPr>
            <w:tcW w:w="4820" w:type="dxa"/>
            <w:vAlign w:val="bottom"/>
            <w:gridSpan w:val="8"/>
          </w:tcPr>
          <w:p>
            <w:pPr>
              <w:spacing w:after="0"/>
              <w:rPr>
                <w:sz w:val="21"/>
                <w:szCs w:val="21"/>
                <w:color w:val="auto"/>
              </w:rPr>
            </w:pPr>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tcBorders>
              <w:bottom w:val="single" w:sz="8" w:color="0000FF"/>
            </w:tcBorders>
            <w:gridSpan w:val="11"/>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for the Three Months Ended March 31, 2022 and 2021</w:t>
              </w:r>
            </w:hyperlink>
          </w:p>
        </w:tc>
        <w:tc>
          <w:tcPr>
            <w:tcW w:w="4260" w:type="dxa"/>
            <w:vAlign w:val="bottom"/>
            <w:gridSpan w:val="5"/>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Earnings</w:t>
              </w:r>
            </w:hyperlink>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1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for the Three Months Ended March 31, 2022 and 2021</w:t>
              </w:r>
            </w:hyperlink>
          </w:p>
        </w:tc>
        <w:tc>
          <w:tcPr>
            <w:tcW w:w="1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20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40" w:type="dxa"/>
            <w:vAlign w:val="bottom"/>
            <w:tcBorders>
              <w:bottom w:val="single" w:sz="8" w:color="0000FF"/>
            </w:tcBorders>
            <w:gridSpan w:val="6"/>
          </w:tcPr>
          <w:p>
            <w:pPr>
              <w:spacing w:after="0" w:line="15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at March 31, 2022 and December 31, 2021</w:t>
              </w:r>
            </w:hyperlink>
          </w:p>
        </w:tc>
        <w:tc>
          <w:tcPr>
            <w:tcW w:w="5180" w:type="dxa"/>
            <w:vAlign w:val="bottom"/>
            <w:gridSpan w:val="10"/>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Equity</w:t>
              </w:r>
            </w:hyperlink>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580" w:type="dxa"/>
            <w:vAlign w:val="bottom"/>
            <w:tcBorders>
              <w:top w:val="single" w:sz="8" w:color="0000FF"/>
            </w:tcBorders>
            <w:gridSpan w:val="7"/>
          </w:tcPr>
          <w:p>
            <w:pPr>
              <w:spacing w:after="0" w:line="157" w:lineRule="exact"/>
              <w:rPr>
                <w:rFonts w:ascii="Arial" w:cs="Arial" w:eastAsia="Arial" w:hAnsi="Arial"/>
                <w:sz w:val="18"/>
                <w:szCs w:val="18"/>
                <w:color w:val="0000FF"/>
              </w:rPr>
            </w:pPr>
            <w:hyperlink w:anchor="page6">
              <w:r>
                <w:rPr>
                  <w:rFonts w:ascii="Arial" w:cs="Arial" w:eastAsia="Arial" w:hAnsi="Arial"/>
                  <w:sz w:val="18"/>
                  <w:szCs w:val="18"/>
                  <w:color w:val="0000FF"/>
                </w:rPr>
                <w:t>for the Three Months Ended March 31, 2022</w:t>
              </w:r>
            </w:hyperlink>
          </w:p>
        </w:tc>
        <w:tc>
          <w:tcPr>
            <w:tcW w:w="5040" w:type="dxa"/>
            <w:vAlign w:val="bottom"/>
            <w:gridSpan w:val="9"/>
          </w:tcPr>
          <w:p>
            <w:pPr>
              <w:jc w:val="right"/>
              <w:ind w:right="4280"/>
              <w:spacing w:after="0" w:line="157"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and 2021</w:t>
              </w:r>
            </w:hyperlink>
          </w:p>
        </w:tc>
        <w:tc>
          <w:tcPr>
            <w:tcW w:w="1200" w:type="dxa"/>
            <w:vAlign w:val="bottom"/>
          </w:tcPr>
          <w:p>
            <w:pPr>
              <w:jc w:val="right"/>
              <w:spacing w:after="0" w:line="157" w:lineRule="exact"/>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20" w:type="dxa"/>
            <w:vAlign w:val="bottom"/>
            <w:tcBorders>
              <w:top w:val="single" w:sz="8" w:color="0000FF"/>
            </w:tcBorders>
            <w:gridSpan w:val="9"/>
          </w:tcPr>
          <w:p>
            <w:pPr>
              <w:spacing w:after="0" w:line="157" w:lineRule="exact"/>
              <w:rPr>
                <w:rFonts w:ascii="Arial" w:cs="Arial" w:eastAsia="Arial" w:hAnsi="Arial"/>
                <w:sz w:val="18"/>
                <w:szCs w:val="18"/>
                <w:color w:val="0000FF"/>
              </w:rPr>
            </w:pPr>
            <w:hyperlink w:anchor="page7">
              <w:r>
                <w:rPr>
                  <w:rFonts w:ascii="Arial" w:cs="Arial" w:eastAsia="Arial" w:hAnsi="Arial"/>
                  <w:sz w:val="18"/>
                  <w:szCs w:val="18"/>
                  <w:color w:val="0000FF"/>
                </w:rPr>
                <w:t>for the Three Months Ended March 31, 2022 and</w:t>
              </w:r>
            </w:hyperlink>
          </w:p>
        </w:tc>
        <w:tc>
          <w:tcPr>
            <w:tcW w:w="520" w:type="dxa"/>
            <w:vAlign w:val="bottom"/>
            <w:gridSpan w:val="3"/>
          </w:tcPr>
          <w:p>
            <w:pPr>
              <w:jc w:val="right"/>
              <w:ind w:right="200"/>
              <w:spacing w:after="0" w:line="157" w:lineRule="exact"/>
              <w:rPr>
                <w:rFonts w:ascii="Arial" w:cs="Arial" w:eastAsia="Arial" w:hAnsi="Arial"/>
                <w:sz w:val="18"/>
                <w:szCs w:val="18"/>
                <w:color w:val="0000FF"/>
                <w:w w:val="74"/>
              </w:rPr>
            </w:pPr>
            <w:hyperlink w:anchor="page7">
              <w:r>
                <w:rPr>
                  <w:rFonts w:ascii="Arial" w:cs="Arial" w:eastAsia="Arial" w:hAnsi="Arial"/>
                  <w:sz w:val="18"/>
                  <w:szCs w:val="18"/>
                  <w:color w:val="0000FF"/>
                  <w:w w:val="74"/>
                </w:rPr>
                <w:t>2021</w:t>
              </w:r>
            </w:hyperlink>
          </w:p>
        </w:tc>
        <w:tc>
          <w:tcPr>
            <w:tcW w:w="160" w:type="dxa"/>
            <w:vAlign w:val="bottom"/>
          </w:tcPr>
          <w:p>
            <w:pPr>
              <w:spacing w:after="0"/>
              <w:rPr>
                <w:sz w:val="13"/>
                <w:szCs w:val="13"/>
                <w:color w:val="auto"/>
              </w:rPr>
            </w:pPr>
          </w:p>
        </w:tc>
        <w:tc>
          <w:tcPr>
            <w:tcW w:w="224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tcPr>
          <w:p>
            <w:pPr>
              <w:jc w:val="right"/>
              <w:spacing w:after="0" w:line="157" w:lineRule="exact"/>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2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Management’s Discussion and Analysis of Financial Condition and Results of Operations</w:t>
              </w:r>
            </w:hyperlink>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1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Quantitative and Qualitative Disclosures about Market Risk</w:t>
              </w:r>
            </w:hyperlink>
          </w:p>
        </w:tc>
        <w:tc>
          <w:tcPr>
            <w:tcW w:w="12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Controls and Procedures</w:t>
              </w:r>
            </w:hyperlink>
          </w:p>
        </w:tc>
        <w:tc>
          <w:tcPr>
            <w:tcW w:w="4080" w:type="dxa"/>
            <w:vAlign w:val="bottom"/>
            <w:gridSpan w:val="4"/>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780" w:type="dxa"/>
            <w:vAlign w:val="bottom"/>
            <w:gridSpan w:val="12"/>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Legal Proceedings</w:t>
              </w:r>
            </w:hyperlink>
          </w:p>
        </w:tc>
        <w:tc>
          <w:tcPr>
            <w:tcW w:w="12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57">
              <w:r>
                <w:rPr>
                  <w:rFonts w:ascii="Arial" w:cs="Arial" w:eastAsia="Arial" w:hAnsi="Arial"/>
                  <w:sz w:val="18"/>
                  <w:szCs w:val="18"/>
                  <w:color w:val="0000FF"/>
                  <w:w w:val="97"/>
                </w:rPr>
                <w:t>Risk Factors</w:t>
              </w:r>
            </w:hyperlink>
          </w:p>
        </w:tc>
        <w:tc>
          <w:tcPr>
            <w:tcW w:w="480" w:type="dxa"/>
            <w:vAlign w:val="bottom"/>
            <w:tcBorders>
              <w:top w:val="single" w:sz="8" w:color="0000FF"/>
            </w:tcBorders>
          </w:tcPr>
          <w:p>
            <w:pPr>
              <w:spacing w:after="0"/>
              <w:rPr>
                <w:sz w:val="22"/>
                <w:szCs w:val="22"/>
                <w:color w:val="auto"/>
              </w:rPr>
            </w:pPr>
          </w:p>
        </w:tc>
        <w:tc>
          <w:tcPr>
            <w:tcW w:w="7280" w:type="dxa"/>
            <w:vAlign w:val="bottom"/>
            <w:gridSpan w:val="13"/>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Unregistered Sales of Equity Securities and Use of Proceeds</w:t>
              </w:r>
            </w:hyperlink>
          </w:p>
        </w:tc>
        <w:tc>
          <w:tcPr>
            <w:tcW w:w="12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FF"/>
            </w:tcBorders>
            <w:gridSpan w:val="1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Exhibits</w:t>
              </w:r>
            </w:hyperlink>
          </w:p>
        </w:tc>
        <w:tc>
          <w:tcPr>
            <w:tcW w:w="3920" w:type="dxa"/>
            <w:vAlign w:val="bottom"/>
            <w:gridSpan w:val="3"/>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264"/>
        </w:trPr>
        <w:tc>
          <w:tcPr>
            <w:tcW w:w="780" w:type="dxa"/>
            <w:vAlign w:val="bottom"/>
            <w:tcBorders>
              <w:bottom w:val="single" w:sz="8" w:color="0000FF"/>
            </w:tcBorders>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Signature</w:t>
              </w:r>
            </w:hyperlink>
          </w:p>
        </w:tc>
        <w:tc>
          <w:tcPr>
            <w:tcW w:w="46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6350</wp:posOffset>
            </wp:positionV>
            <wp:extent cx="2348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1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5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method investment transactions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8"/>
        </w:trPr>
        <w:tc>
          <w:tcPr>
            <w:tcW w:w="754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Net earnings attributable to</w:t>
            </w:r>
          </w:p>
        </w:tc>
        <w:tc>
          <w:tcPr>
            <w:tcW w:w="1160" w:type="dxa"/>
            <w:vAlign w:val="bottom"/>
            <w:vMerge w:val="restart"/>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4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Basic earnings per share attributable to</w:t>
            </w:r>
          </w:p>
        </w:tc>
        <w:tc>
          <w:tcPr>
            <w:tcW w:w="1160" w:type="dxa"/>
            <w:vAlign w:val="bottom"/>
            <w:vMerge w:val="restart"/>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540" w:type="dxa"/>
            <w:vAlign w:val="bottom"/>
            <w:vMerge w:val="continue"/>
          </w:tcPr>
          <w:p>
            <w:pPr>
              <w:spacing w:after="0"/>
              <w:rPr>
                <w:sz w:val="11"/>
                <w:szCs w:val="11"/>
                <w:color w:val="auto"/>
              </w:rPr>
            </w:pPr>
          </w:p>
        </w:tc>
        <w:tc>
          <w:tcPr>
            <w:tcW w:w="1160" w:type="dxa"/>
            <w:vAlign w:val="bottom"/>
            <w:vMerge w:val="restart"/>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1"/>
                <w:szCs w:val="11"/>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95"/>
        </w:trPr>
        <w:tc>
          <w:tcPr>
            <w:tcW w:w="7540" w:type="dxa"/>
            <w:vAlign w:val="bottom"/>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6350</wp:posOffset>
            </wp:positionV>
            <wp:extent cx="2348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188"/>
        </w:trPr>
        <w:tc>
          <w:tcPr>
            <w:tcW w:w="754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earnings/(losses)</w:t>
            </w: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8"/>
        </w:trPr>
        <w:tc>
          <w:tcPr>
            <w:tcW w:w="75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Comprehensive earnings/(losses) attributable to</w:t>
            </w: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6"/>
                <w:szCs w:val="16"/>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3,546</w:t>
            </w:r>
          </w:p>
        </w:tc>
      </w:tr>
      <w:tr>
        <w:trPr>
          <w:trHeight w:val="188"/>
        </w:trPr>
        <w:tc>
          <w:tcPr>
            <w:tcW w:w="79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Trade receivables (net of allowances of $55 at March 31, 2022</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$37 at December 31, 2021)</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Other receivables (net of allowances of $48 at March 31, 2022</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and $49 at December 31, 2021)</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10,342</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8,658</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21,978</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1,009</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6,730</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14,008</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Common Stock, no par value (5,000,000,000 shares authorized and</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March 31, 2022 and December 31, 2021)</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30,806</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Treasury stock, at cost (612,818,033 shares at March 31, 2022 and</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604,907,239 shares at December 31, 2021)</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(24,010)</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28,269</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(Losses)</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4"/>
        </w:trPr>
        <w:tc>
          <w:tcPr>
            <w:tcW w:w="3200" w:type="dxa"/>
            <w:vAlign w:val="bottom"/>
          </w:tcPr>
          <w:p>
            <w:pPr>
              <w:ind w:left="20"/>
              <w:spacing w:after="0" w:line="147" w:lineRule="exact"/>
              <w:rPr>
                <w:sz w:val="20"/>
                <w:szCs w:val="20"/>
                <w:color w:val="auto"/>
              </w:rPr>
            </w:pPr>
            <w:r>
              <w:rPr>
                <w:rFonts w:ascii="Arial" w:cs="Arial" w:eastAsia="Arial" w:hAnsi="Arial"/>
                <w:sz w:val="13"/>
                <w:szCs w:val="13"/>
                <w:b w:val="1"/>
                <w:bCs w:val="1"/>
                <w:color w:val="auto"/>
              </w:rPr>
              <w:t>Three Months Ended March 31, 2022</w:t>
            </w: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January 1, 2022</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28,323</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w:t>
            </w:r>
          </w:p>
        </w:tc>
        <w:tc>
          <w:tcPr>
            <w:tcW w:w="0" w:type="dxa"/>
            <w:vAlign w:val="bottom"/>
          </w:tcPr>
          <w:p>
            <w:pPr>
              <w:spacing w:after="0"/>
              <w:rPr>
                <w:sz w:val="1"/>
                <w:szCs w:val="1"/>
                <w:color w:val="auto"/>
              </w:rPr>
            </w:pPr>
          </w:p>
        </w:tc>
      </w:tr>
      <w:tr>
        <w:trPr>
          <w:trHeight w:val="129"/>
        </w:trPr>
        <w:tc>
          <w:tcPr>
            <w:tcW w:w="3200" w:type="dxa"/>
            <w:vAlign w:val="bottom"/>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60"/>
        </w:trPr>
        <w:tc>
          <w:tcPr>
            <w:tcW w:w="3200" w:type="dxa"/>
            <w:vAlign w:val="bottom"/>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($0.350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Balances at March 31, 2022</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31,163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28,216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Three Months Ended March 31, 2021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32,070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28,402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(10,690)</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(22,204)</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27,654</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961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(1,017)</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($0.315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39" w:lineRule="exact"/>
              <w:rPr>
                <w:sz w:val="20"/>
                <w:szCs w:val="20"/>
                <w:color w:val="auto"/>
              </w:rPr>
            </w:pPr>
            <w:r>
              <w:rPr>
                <w:rFonts w:ascii="Arial" w:cs="Arial" w:eastAsia="Arial" w:hAnsi="Arial"/>
                <w:sz w:val="13"/>
                <w:szCs w:val="13"/>
                <w:color w:val="auto"/>
              </w:rPr>
              <w:t>Balances at March 31, 2021</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32,009</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28,903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(10,746)</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(23,091)</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27,149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Three Months Ended</w:t>
      </w:r>
    </w:p>
    <w:p>
      <w:pPr>
        <w:jc w:val="center"/>
        <w:ind w:left="7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6350</wp:posOffset>
            </wp:positionV>
            <wp:extent cx="23399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Deferred income tax (benefit)/provision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Loss on equity method investment transactions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188"/>
        </w:trPr>
        <w:tc>
          <w:tcPr>
            <w:tcW w:w="7520" w:type="dxa"/>
            <w:vAlign w:val="bottom"/>
          </w:tcPr>
          <w:p>
            <w:pPr>
              <w:ind w:left="360"/>
              <w:spacing w:after="0" w:line="189" w:lineRule="exact"/>
              <w:rPr>
                <w:sz w:val="20"/>
                <w:szCs w:val="20"/>
                <w:color w:val="auto"/>
              </w:rPr>
            </w:pPr>
            <w:r>
              <w:rPr>
                <w:rFonts w:ascii="Arial" w:cs="Arial" w:eastAsia="Arial" w:hAnsi="Arial"/>
                <w:sz w:val="18"/>
                <w:szCs w:val="18"/>
                <w:color w:val="auto"/>
              </w:rPr>
              <w:t>Change in assets and liabilities,</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7"/>
        </w:trPr>
        <w:tc>
          <w:tcPr>
            <w:tcW w:w="7520" w:type="dxa"/>
            <w:vAlign w:val="bottom"/>
          </w:tcPr>
          <w:p>
            <w:pPr>
              <w:ind w:left="500"/>
              <w:spacing w:after="0"/>
              <w:rPr>
                <w:sz w:val="20"/>
                <w:szCs w:val="20"/>
                <w:color w:val="auto"/>
              </w:rPr>
            </w:pPr>
            <w:r>
              <w:rPr>
                <w:rFonts w:ascii="Arial" w:cs="Arial" w:eastAsia="Arial" w:hAnsi="Arial"/>
                <w:sz w:val="18"/>
                <w:szCs w:val="18"/>
                <w:color w:val="auto"/>
              </w:rPr>
              <w:t>net of acquisitions and divestitures: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752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752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Acquisitions, net of cash received</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sale of property, plant and equipment and 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commercial paper, maturities greater than 90 days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Repayments of commercial paper, maturities greater than 90 days</w:t>
            </w:r>
          </w:p>
        </w:tc>
        <w:tc>
          <w:tcPr>
            <w:tcW w:w="1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issuances/(repayments) of other short-term borrowings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repayments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168"/>
        </w:trPr>
        <w:tc>
          <w:tcPr>
            <w:tcW w:w="7520" w:type="dxa"/>
            <w:vAlign w:val="bottom"/>
          </w:tcPr>
          <w:p>
            <w:pPr>
              <w:ind w:left="20"/>
              <w:spacing w:after="0" w:line="168" w:lineRule="exact"/>
              <w:rPr>
                <w:sz w:val="20"/>
                <w:szCs w:val="20"/>
                <w:color w:val="auto"/>
              </w:rPr>
            </w:pPr>
            <w:r>
              <w:rPr>
                <w:rFonts w:ascii="Arial" w:cs="Arial" w:eastAsia="Arial" w:hAnsi="Arial"/>
                <w:sz w:val="18"/>
                <w:szCs w:val="18"/>
                <w:color w:val="auto"/>
              </w:rPr>
              <w:t>Effect of exchange rate changes on cash, cash equivalents</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7"/>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restricted cash</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(Decrease)/Increase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(1,591)</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23"/>
        </w:trPr>
        <w:tc>
          <w:tcPr>
            <w:tcW w:w="752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00"/>
          </w:cols>
          <w:pgMar w:left="320" w:top="382" w:right="379" w:bottom="1440" w:gutter="0" w:footer="0" w:header="0"/>
        </w:sect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are no readily determinable fair values for the equity interests, these investments are carried at cost with changes in the investment recognized to the extent cash is received.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assets. We recorded $143 million of total expenses ($145 million after-tax) incurred as a direct result of the war, including $75 million recorded in asset impairment and exit costs</w:t>
      </w:r>
      <w:r>
        <w:rPr>
          <w:rFonts w:ascii="Arial" w:cs="Arial" w:eastAsia="Arial" w:hAnsi="Arial"/>
          <w:sz w:val="18"/>
          <w:szCs w:val="18"/>
          <w:i w:val="1"/>
          <w:iCs w:val="1"/>
          <w:color w:val="auto"/>
        </w:rPr>
        <w:t>,</w:t>
      </w:r>
      <w:r>
        <w:rPr>
          <w:rFonts w:ascii="Arial" w:cs="Arial" w:eastAsia="Arial" w:hAnsi="Arial"/>
          <w:sz w:val="18"/>
          <w:szCs w:val="18"/>
          <w:color w:val="auto"/>
        </w:rPr>
        <w:t xml:space="preserve"> $ 44 million in cost of sales and $24 million in selling, general and administrative expenses. We recorded $75 million of property, plant and equipment impairments, $ 33 million of estimated inventory reserves and write-offs, $19 million of increased estimated allowances for trade receivables and $16 million in accrued expenses. We continue to consolidate both our Ukrainian and Russian subsidiaries and continue to evaluate our ability to control our operating activities and businesses on an ongoing basis. In connection with these findings and impacts, we have made estimates and assumptions based on information available to us.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currency transactions in earnings.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Local currency monetary assets and liabilities are remeasured into U.S. dollars using exchange rates as of the latest balance sheet date, with remeasurement gains and losses recognized in net earnings.</w:t>
      </w:r>
    </w:p>
    <w:p>
      <w:pPr>
        <w:spacing w:after="0" w:line="2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Türkiye. </w:t>
      </w:r>
      <w:r>
        <w:rPr>
          <w:rFonts w:ascii="Arial" w:cs="Arial" w:eastAsia="Arial" w:hAnsi="Arial"/>
          <w:sz w:val="18"/>
          <w:szCs w:val="18"/>
          <w:color w:val="auto"/>
        </w:rPr>
        <w:t>During the first quarter of 2022, primarily based on data published by the Türkiye Statistical Institute that indicated that Türkiye's</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cumulative inflation rate exceeded 100%, we concluded that Türkiye became a highly inflationary economy for accounting purposes. As of April 1, 2022, we expect to apply highly inflationary accounting for our subsidiaries operating in Türkiye and change their functional currency from the Turkish lira to the U.S. dollar. Our operations in Türkiye contributed $43 million, or 0.6% of our condensed consolidated net revenues in the three months ended March 31, 2022. Based on a review of our Turkish lira-denominated monetary assets and liabilities, our operations in Türkiye had an immaterial net monetary liability position as of March 31, 2022.</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Our operations in Argentina contributed $129 million, or 1.7% of our condensed consolidated net revenues in the three months ended March 31, 2022. As of March 31, 2022, our Argentinean operations had $26 million of Argentinean peso denominated net monetary assets. Within selling, general and administrative expenses, we recorded a remeasurement loss of $5 million during the three months ended March 31, 2022 related to the revaluation of the Argentinean peso denominated net monetary position over these periods.</w:t>
      </w:r>
    </w:p>
    <w:p>
      <w:pPr>
        <w:spacing w:after="0" w:line="21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potential exposures. We continue to monitor the developments in Ukraine and Russia as well as in the ongoing COVID-19 global pandemic and related impacts to our business operations, currencies and net monetary exposures. Since the global onset of COVID-19 in early 2020, most countries in which we do business experienced periods of significant economic uncertainty as well as exchange rate volatility. At this time, within our consolidated entities, Argentina and Türkiye are or will be accounted for as highly inflationary economies as noted above, and we continue to monitor currency volatility and associated risks, including highly inflationary economies.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of $ 7 million as of March 31, 2022 and $7 million as of December 31, 2021. Total cash, cash equivalents and restricted cash was $1,953 million as of March 31, 2022 and $3,553 million as of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1"/>
                <w:szCs w:val="11"/>
                <w:color w:val="auto"/>
              </w:rPr>
            </w:pP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5"/>
        </w:trPr>
        <w:tc>
          <w:tcPr>
            <w:tcW w:w="68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$887 million as of March 31, 2022 and $761 million as of December 31, 2021.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recorded $95 million in operating lease and $56 million in finance lease right-of-use assets obtained in exchange for lease obligations during the three months ended March 31, 2022 and $ 29 million in operating lease and $30 million in finance lease right-of-use assets obtained in exchange for lease obligations during the three months ended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are evaluating the timing and effects of adopting this ASU and currently we do not expect this ASU to have a material impact on our consolidated financial statements.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2020 and subsequently in January 2021, the FASB issued an ASU to provide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LIBOR, to alternative reference rates, if certain criteria are met. The new accounting requirements can be applied as of the beginning of the interim period including March 12, 2020, or any date thereafter, through December 31, 2022. We expect to adopt this standard in the fourth quarter of 2022. Based on our evaluation of our contracts to date, we do not expect this ASU to have a material impact on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61"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April 24, 2022, we entered into an agreement with Grupo Bimbo to acquire Ricolino, its confectionery business located primarily in Mexico for a purchase price of approximately $1.3 billion, subject to closing purchase price adjustments. The transaction, which will be funded through a combination of an issuance of debt and cash on hand, is subject to relevant antitrust approvals and closing conditions and is expected to close in late Q3 or early Q4 2022.</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January 3, 2022, we acquired Chipita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€1.3 billion ($ 1.4 billion), net of cash received, plus the assumption of Chipita’s debt of €0.4 billion ($0.4 billion) for a total purchase price of €1.7 billion ($1.9 billion).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are working to complete the valuation and have recorded a preliminary purchase price allocation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9"/>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56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5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5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Finance leases right of use assets</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Definite life intangible assets</w:t>
            </w:r>
          </w:p>
        </w:tc>
        <w:tc>
          <w:tcPr>
            <w:tcW w:w="5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Indefinite life intangible assets</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5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5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5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2,221</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5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53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53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1,906</w:t>
            </w: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long-term debt</w:t>
            </w:r>
          </w:p>
        </w:tc>
        <w:tc>
          <w:tcPr>
            <w:tcW w:w="5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received</w:t>
            </w:r>
          </w:p>
        </w:tc>
        <w:tc>
          <w:tcPr>
            <w:tcW w:w="5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Paid</w:t>
            </w:r>
          </w:p>
        </w:tc>
        <w:tc>
          <w:tcPr>
            <w:tcW w:w="5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1,418</w:t>
            </w:r>
          </w:p>
        </w:tc>
      </w:tr>
      <w:tr>
        <w:trPr>
          <w:trHeight w:val="621"/>
        </w:trPr>
        <w:tc>
          <w:tcPr>
            <w:tcW w:w="4020" w:type="dxa"/>
            <w:vAlign w:val="bottom"/>
          </w:tcPr>
          <w:p>
            <w:pPr>
              <w:spacing w:after="0"/>
              <w:rPr>
                <w:sz w:val="24"/>
                <w:szCs w:val="24"/>
                <w:color w:val="auto"/>
              </w:rPr>
            </w:pPr>
          </w:p>
        </w:tc>
        <w:tc>
          <w:tcPr>
            <w:tcW w:w="5380" w:type="dxa"/>
            <w:vAlign w:val="bottom"/>
          </w:tcPr>
          <w:p>
            <w:pPr>
              <w:jc w:val="right"/>
              <w:ind w:right="3635"/>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8"/>
        </w:trPr>
        <w:tc>
          <w:tcPr>
            <w:tcW w:w="40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 xml:space="preserve">Within identifiable intangible assets, we allocated $686 million to trade names which have an indefinite-life. The fair value for the </w:t>
      </w:r>
      <w:r>
        <w:rPr>
          <w:rFonts w:ascii="Arial" w:cs="Arial" w:eastAsia="Arial" w:hAnsi="Arial"/>
          <w:sz w:val="18"/>
          <w:szCs w:val="18"/>
          <w:i w:val="1"/>
          <w:iCs w:val="1"/>
          <w:color w:val="auto"/>
        </w:rPr>
        <w:t>7 Days</w:t>
      </w:r>
      <w:r>
        <w:rPr>
          <w:rFonts w:ascii="Arial" w:cs="Arial" w:eastAsia="Arial" w:hAnsi="Arial"/>
          <w:sz w:val="18"/>
          <w:szCs w:val="18"/>
          <w:color w:val="auto"/>
        </w:rPr>
        <w:t xml:space="preserve"> trade name, which is the primary asset acquired, was determined using the multi-period excess earnings method under the income approach at the acquisition date. The fair value measurements of intangible assets are based on significant unobservable inputs, and thus represent Level 3 inputs. Significant assumptions used in assessing the fair values of intangible assets include forecasted future cash flows and discount rates.</w:t>
      </w:r>
    </w:p>
    <w:p>
      <w:pPr>
        <w:spacing w:after="0" w:line="23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segment.</w:t>
      </w:r>
    </w:p>
    <w:p>
      <w:pPr>
        <w:spacing w:after="0" w:line="22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Chipita added incremental net revenues of $152 million and operating income of $4 million in the three months ended March 31, 2022. We incurred acquisition-related costs of $21 million and integration costs of $35 million in the three months ended March 31, 2022.</w:t>
      </w:r>
    </w:p>
    <w:p>
      <w:pPr>
        <w:spacing w:after="0" w:line="22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On November 1, 2021, we completed the sale of MaxFoods Pty Ltd, an Australian packaged seafood business that we had acquired as part of our acquisition of Gourmet Food Holdings Pty Ltd (“Gourmet Food”). The sales price was $57 million Australian dollars ($41 million), net of cash divested with the business, and we recorded an immaterial loss on the transaction.</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April 1, 2021, we acquired Gourmet Food, a leading Australian food company in the premium biscuit and cracker category, for closing cash consideration of approximately $450 million Australian dollars ($ 343 million), net of cash received. We have recorded a purchase price allocation of net tangible and intangible assets acquired and liabilities assumed of $41 million to indefinite-lived intangible assets, $80 million to definite-lived intangible assets, $164 million to goodwill, $19 million to property, plant and equipment, $18 million to inventory, $25 million to accounts receivable, $12 million to other assets, $5 million to operating right of use assets, $3 million to other current assets, $19 million to current liabilities and $5 million to long-term operating lease liabilities. The acquisition added incremental net revenues of $14 million, and operating income of $ 1 million in the three months ended March 31, 2022. We incurred acquisition-related costs of $1 million in the three months ended March 31, 2021.</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($261 million), net of cash received. The acquisition of Grenade expands our position into the premium nutrition segment. We have recorded a purchase price allocation of net tangible and intangible assets acquired and liabilities assumed of $82 million to indefinite-lived intangible assets, $28 million to definite-lived intangible assets, $181 million to goodwill, $1 million to property, plant and equipment, $11 million to inventory, $18 million to accounts receivable, $25 million to current liabilities, $20 million to deferred tax liabilities and $15 million to long-term other liabilities. Through the one-year anniversary of the acquisition, Grenade added incremental net revenues of $21 million, and operating income of $2 million in the three months ended March 31, 2022. We incurred acquisition-related costs of $2 million in the three months ended March 31, 2021.</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January 4, 2021, we acquired the remaining 93% of equity of Hu Master Holdings ("Hu"), a category leader in premium chocolate in the United States, which provides a strategic complement to our snacking portfolio in North America through growth opportunities in chocolate and other categories in the well-being category. The initial cash consideration paid was $229 million, net of cash received, and the Company may be required to pay additional contingent consideration. The estimated fair value of the contingent consideration obligation at the acquisition date was $132 million and was determined using a Monte Carlo simulation based on forecasted future results. As a result of acquiring the remaining equity interest, we consolidated the operations prospectively from the date of acquisition and recorded a pre-tax gain of $9 million ($7 million after-tax) related to stepping up our previously-held $8 million (7%) investment to fair value. We have recorded a purchase price allocation of net tangible and intangible assets acquired and liabilities assumed of $123 million to indefinite-lived intangible assets, $51 million to definite-lived intangible assets, $202 million to goodwill, $1 million to property, plant and equipment, $ 2 million to inventory, $4 million to accounts receivable, $5 million to current liabilities and $ 132 million to long-term other liabilities. We incurred acquisition-related costs of $4 million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March 31, 2022</w:t>
            </w: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48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March 31, 2022</w:t>
            </w: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For the three months ended March 31, 2022, capital expenditures of $167 million excluded $244 million of accrued capital expenditures remaining unpaid at March 31, 2022 and included payment for a portion of the $249 million of capital expenditures that were accrued and unpaid at December 31, 2021. For the three months ended March 31, 2021, capital expenditures of $216 million excluded $230 million of accrued capital expenditures remaining unpaid at March 31, 2021 and included payment for a portion of the $275 million of capital expenditures that were accrued and unpaid at December 31, 2020.</w:t>
      </w:r>
    </w:p>
    <w:p>
      <w:pPr>
        <w:spacing w:after="0" w:line="23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8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339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5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54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AMEA</w:t>
            </w:r>
          </w:p>
        </w:tc>
        <w:tc>
          <w:tcPr>
            <w:tcW w:w="4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4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jc w:val="right"/>
              <w:ind w:right="1755"/>
              <w:spacing w:after="0"/>
              <w:rPr>
                <w:sz w:val="20"/>
                <w:szCs w:val="20"/>
                <w:color w:val="auto"/>
              </w:rPr>
            </w:pPr>
            <w:r>
              <w:rPr>
                <w:rFonts w:ascii="Arial" w:cs="Arial" w:eastAsia="Arial" w:hAnsi="Arial"/>
                <w:sz w:val="18"/>
                <w:szCs w:val="18"/>
                <w:color w:val="auto"/>
              </w:rPr>
              <w:t>10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3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3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March 31, 2022</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AMEA</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March 31, 2022</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Definite-life intangible assets consist primarily of brands, customer-related intangibles, process technology, licenses and non-compete agreements.</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Amortization expense for intangible assets was $32 million for the three months ended March 31, 2022 and $38 million for the three months ended March 31, 2021. For the next five years, we currently estimate annual amortization expense of approximately $ 130 million in 2022-2024, approximately $105 million in 2025 and approximately $65 million in 2026 (reflecting March 31, 2022 exchange 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Pr>
          <w:p>
            <w:pPr>
              <w:spacing w:after="0"/>
              <w:rPr>
                <w:sz w:val="14"/>
                <w:szCs w:val="14"/>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0" w:type="dxa"/>
            <w:vAlign w:val="bottom"/>
          </w:tcPr>
          <w:p>
            <w:pPr>
              <w:spacing w:after="0"/>
              <w:rPr>
                <w:sz w:val="1"/>
                <w:szCs w:val="1"/>
                <w:color w:val="auto"/>
              </w:rPr>
            </w:pP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60" w:right="1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connection with our acquisition of Chipita during the first three months of 2022, we recorded a preliminary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 allocation of $774 million to goodwill and $734 million to intangible assets. See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2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 As further described below, during the first quarter of 2022, we recorded a $78 million intangible asset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in AMEA due to lower than expected growth and profitability of a local biscuit brand sold in select markets in AMEA and Europe.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first quarter of 2022, we evaluated our goodwill and intangible asset impairment risk through an assessment of potential triggering events. In light of the war in Ukraine and the overall global economic environment, we considered qualitative and quantitative information in our assessment of goodwill and indefinite-life intangible assets. Based on the financial performance of our goodwill reporting units, we concluded there were no impairment indicators for goodwill. Based on further quantitative analysis of our indefinite-life intangible assets, we concluded that a biscuit brand was impaired. During the first quarter of 2022, we recorded a $78 million impairment charge for the brand within asset impairment and exit costs and based on the excess carrying value over its estimated fair value. During our indefinite-life impairment testing, we use several accepted valuation methods, including relief of royalty, excess earnings and excess margin, that utilize estimates of future sales, earnings growth rates, royalty rates and discount rates in determining a brand's global fair value.</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first quarter of 2021, there were no impairments of goodwill or intangible assets. During our 2021 annual indefinite-life intangible asset testing in the third quarter of 2021, we identified eight brands, including the one brand impaired during the first quarter of 2022, that each had a fair value in excess of book value of 10% or less. The aggregate book value of the eight brands was $1,045 million as of March 31, 2022. We continue to monitor our brand performance, particularly in light of the significant global economic uncertainties and related impacts to our business. If a brand's earnings expectations, including the timing of the expected recovery from the war and the pandemic, are not met or specific valuation factors outside of our control, such as discount rates, change significantly, then a brand or brands could become impaired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7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35"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Our ownership interests may change over time due to investee stock-based compensation arrangements, share issuances or other equity-related transactions. As of March 31, 2022, we owned 22.7%, 5.3%, 50.0% and 49.0%, respectively, of these companies' outstanding shares.</w:t>
      </w:r>
    </w:p>
    <w:p>
      <w:pPr>
        <w:spacing w:after="0" w:line="23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investments accounted for under the equity method of accounting totaled $5,255 million as of March 31, 2022 and $5,289 million as of December 31, 2021. We recorded equity earnings of $117 million and cash dividends of $107 million in the first quarter of 2022 and equity earnings of $78 million and cash dividends of $74 million in the first quarter of 2021.</w:t>
      </w:r>
    </w:p>
    <w:p>
      <w:pPr>
        <w:spacing w:after="0" w:line="22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Based on the quoted closing prices as of March 31, 2022, the combined fair value of our publicly-traded investments in JDEP and KDP was $6.1 billion, and for each investment, its fair value exceeded its carrying value.</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September 20, 2021, we issued €300 million exchangeable bonds, which are redeemable at maturity in September 2024 at their principal amount in cash or, at our option, through the delivery of an equivalent number of JDE Peet’s ordinary shares based on an initial exchange price of €35.40 and, as the case may be, an additional amount in cash. If all bonds were redeemed in exchange for JDE Peet's shares, this would represent approximately 8.5 million shares or approximately 7% of our equity interest in JDE Peet's. Refer to Note 9,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for further details on this transaction.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74"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$700 million in capital expenditures. On October 21, 2021, our Board of Directors approved an extension of the restructuring program through 2023. The total $7.7 billion program now consists of $5.4 billion of program charges ($4.1 billion of cash costs and $ 1.3 billion of non-cash costs) and total capital expenditures of $2.3 billion to be incurred over the life of the program. The current restructuring program, as increased and extended by these actions, is now called the Simplify to Grow Program.</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$5.1 billion related to the Simplify to Grow Program. We expect to incur the remainder of the program charges by year-end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three months ended March 31, 2022 was: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200" w:type="dxa"/>
            <w:vAlign w:val="bottom"/>
          </w:tcPr>
          <w:p>
            <w:pPr>
              <w:jc w:val="center"/>
              <w:ind w:left="321"/>
              <w:spacing w:after="0" w:line="135" w:lineRule="exact"/>
              <w:rPr>
                <w:sz w:val="20"/>
                <w:szCs w:val="20"/>
                <w:color w:val="auto"/>
              </w:rPr>
            </w:pPr>
            <w:r>
              <w:rPr>
                <w:rFonts w:ascii="Arial" w:cs="Arial" w:eastAsia="Arial" w:hAnsi="Arial"/>
                <w:sz w:val="14"/>
                <w:szCs w:val="14"/>
                <w:b w:val="1"/>
                <w:bCs w:val="1"/>
                <w:color w:val="auto"/>
              </w:rPr>
              <w:t>and related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240" w:type="dxa"/>
            <w:vAlign w:val="bottom"/>
          </w:tcPr>
          <w:p>
            <w:pPr>
              <w:spacing w:after="0"/>
              <w:rPr>
                <w:sz w:val="15"/>
                <w:szCs w:val="15"/>
                <w:color w:val="auto"/>
              </w:rPr>
            </w:pPr>
          </w:p>
        </w:tc>
        <w:tc>
          <w:tcPr>
            <w:tcW w:w="12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8"/>
              </w:rPr>
              <w:t>costs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2022</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Non-cash settlements/adjustments</w:t>
            </w:r>
          </w:p>
        </w:tc>
        <w:tc>
          <w:tcPr>
            <w:tcW w:w="12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Liability balance, March 31, 2022</w:t>
            </w: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
        </w:trPr>
        <w:tc>
          <w:tcPr>
            <w:tcW w:w="6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right="58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restructuring charges of $11 million in the first quarter of 2022 and $88 million in the first quarter of 2021 within asset impairment and exit costs and benefit plan non-service income.</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spent $17 million in the first quarter of 2022 and $34 million in the first quarter of 2021 in cash severance and related costs.</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recognized non-cash asset write-downs (including accelerated depreciation and asset impairments), and other adjustments, including any gains on sale of restructuring program assets, which totaled $2 million in the first quarter of 2022 and $40 million in the first quarter of 2021.</w:t>
      </w:r>
    </w:p>
    <w:p>
      <w:pPr>
        <w:spacing w:after="0" w:line="1" w:lineRule="exact"/>
        <w:rPr>
          <w:rFonts w:ascii="Arial" w:cs="Arial" w:eastAsia="Arial" w:hAnsi="Arial"/>
          <w:sz w:val="18"/>
          <w:szCs w:val="18"/>
          <w:color w:val="auto"/>
        </w:rPr>
      </w:pPr>
    </w:p>
    <w:p>
      <w:pPr>
        <w:ind w:left="340" w:right="10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March 31, 2022, $172 million of our net restructuring liability was recorded within other current liabilities and $30 million was recorded within other long-term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$20 million in the first quarter of 2022 and $ 34 million in the first quarter of 2021. We recorded these costs within cost of sales and general corporate expense within selling, general and administrative expenses.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three months ended March 31, 2022 and March 31, 2021, and since inception of the Simplify to Grow Program, we recorded the following restructuring and implementation costs within segment operating income and earnings before income taxes: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AMEA</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320" w:type="dxa"/>
            <w:vAlign w:val="bottom"/>
            <w:gridSpan w:val="4"/>
          </w:tcPr>
          <w:p>
            <w:pPr>
              <w:ind w:left="400"/>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320" w:type="dxa"/>
            <w:vAlign w:val="bottom"/>
            <w:gridSpan w:val="4"/>
          </w:tcPr>
          <w:p>
            <w:pPr>
              <w:ind w:left="300"/>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 March</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 March</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120" w:type="dxa"/>
            <w:vAlign w:val="bottom"/>
          </w:tcPr>
          <w:p>
            <w:pPr>
              <w:spacing w:after="0"/>
              <w:rPr>
                <w:sz w:val="17"/>
                <w:szCs w:val="17"/>
                <w:color w:val="auto"/>
              </w:rPr>
            </w:pPr>
          </w:p>
        </w:tc>
        <w:tc>
          <w:tcPr>
            <w:tcW w:w="12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560" w:type="dxa"/>
            <w:vAlign w:val="bottom"/>
            <w:gridSpan w:val="2"/>
          </w:tcPr>
          <w:p>
            <w:pPr>
              <w:jc w:val="right"/>
              <w:ind w:right="239"/>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600" w:type="dxa"/>
            <w:vAlign w:val="bottom"/>
            <w:gridSpan w:val="5"/>
          </w:tcPr>
          <w:p>
            <w:pPr>
              <w:spacing w:after="0"/>
              <w:rPr>
                <w:sz w:val="20"/>
                <w:szCs w:val="20"/>
                <w:color w:val="auto"/>
              </w:rPr>
            </w:pPr>
            <w:r>
              <w:rPr>
                <w:rFonts w:ascii="Arial" w:cs="Arial" w:eastAsia="Arial" w:hAnsi="Arial"/>
                <w:sz w:val="18"/>
                <w:szCs w:val="18"/>
                <w:b w:val="1"/>
                <w:bCs w:val="1"/>
                <w:color w:val="auto"/>
              </w:rPr>
              <w:t>Note 8. Debt and Borrowing Arrangements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6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80" w:type="dxa"/>
            <w:vAlign w:val="bottom"/>
            <w:gridSpan w:val="13"/>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As of March 31, 2022</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2021</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left="316"/>
              <w:spacing w:after="0" w:line="142" w:lineRule="exact"/>
              <w:rPr>
                <w:sz w:val="20"/>
                <w:szCs w:val="20"/>
                <w:color w:val="auto"/>
              </w:rPr>
            </w:pPr>
            <w:r>
              <w:rPr>
                <w:rFonts w:ascii="Arial" w:cs="Arial" w:eastAsia="Arial" w:hAnsi="Arial"/>
                <w:sz w:val="14"/>
                <w:szCs w:val="14"/>
                <w:b w:val="1"/>
                <w:bCs w:val="1"/>
                <w:color w:val="auto"/>
              </w:rPr>
              <w:t>Weighted-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tcPr>
          <w:p>
            <w:pPr>
              <w:jc w:val="center"/>
              <w:ind w:right="33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8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Average Rate</w:t>
            </w:r>
          </w:p>
        </w:tc>
        <w:tc>
          <w:tcPr>
            <w:tcW w:w="196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80" w:type="dxa"/>
            <w:vAlign w:val="bottom"/>
            <w:gridSpan w:val="10"/>
          </w:tcPr>
          <w:p>
            <w:pPr>
              <w:jc w:val="right"/>
              <w:ind w:right="81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March 31, 2022 and December 31, 2021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As of March 31, 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As of December 31, 2021</w:t>
            </w: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Borrowed Amount</w:t>
            </w:r>
          </w:p>
        </w:tc>
      </w:tr>
      <w:tr>
        <w:trPr>
          <w:trHeight w:val="18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117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Credit facility expiry</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November 30, 2022</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22, 2023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23, 2027</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6" w:lineRule="exact"/>
        <w:rPr>
          <w:sz w:val="20"/>
          <w:szCs w:val="20"/>
          <w:color w:val="auto"/>
        </w:rPr>
      </w:pPr>
    </w:p>
    <w:p>
      <w:pPr>
        <w:ind w:left="340" w:hanging="332"/>
        <w:spacing w:after="0" w:line="247" w:lineRule="auto"/>
        <w:tabs>
          <w:tab w:leader="none" w:pos="552"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340" w:right="40"/>
        <w:spacing w:after="0" w:line="241" w:lineRule="auto"/>
        <w:rPr>
          <w:sz w:val="20"/>
          <w:szCs w:val="20"/>
          <w:color w:val="auto"/>
        </w:rPr>
      </w:pPr>
      <w:r>
        <w:rPr>
          <w:rFonts w:ascii="Arial" w:cs="Arial" w:eastAsia="Arial" w:hAnsi="Arial"/>
          <w:sz w:val="14"/>
          <w:szCs w:val="14"/>
          <w:color w:val="auto"/>
        </w:rPr>
        <w:t>pensions and other retirement plans. At March 31, 2022, we complied with this covenant as our shareholders' equity, as defined by the covenant, was $38.6 billion. The revolving credit facility also contains customary representations, covenants and events of default. There are no credit rating triggers, provisions or other financial covenants that could require us to post collateral as security.</w:t>
      </w:r>
    </w:p>
    <w:p>
      <w:pPr>
        <w:spacing w:after="0" w:line="1" w:lineRule="exact"/>
        <w:rPr>
          <w:sz w:val="20"/>
          <w:szCs w:val="20"/>
          <w:color w:val="auto"/>
        </w:rPr>
      </w:pPr>
    </w:p>
    <w:p>
      <w:pPr>
        <w:ind w:left="340" w:right="400" w:hanging="332"/>
        <w:spacing w:after="0" w:line="249" w:lineRule="auto"/>
        <w:tabs>
          <w:tab w:leader="none" w:pos="552"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March 31, 2022, we entered into a supplemental term loan credit facility that can be utilized for general corporate purposes, including acquisitions. Under this agreement we may draw up to a total of $2.0 billion in term loans from the facility. The maturity dates of any loans drawn under this facility will be three years after the funding date of the applicable loan(s).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March 18, 2022, we completed a tender offer in cash and redeemed long term U.S. dollar denominated notes for the following amounts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2300" w:type="dxa"/>
            <w:vAlign w:val="bottom"/>
          </w:tcPr>
          <w:p>
            <w:pPr>
              <w:jc w:val="center"/>
              <w:ind w:left="32"/>
              <w:spacing w:after="0"/>
              <w:rPr>
                <w:sz w:val="20"/>
                <w:szCs w:val="20"/>
                <w:color w:val="auto"/>
              </w:rPr>
            </w:pPr>
            <w:r>
              <w:rPr>
                <w:rFonts w:ascii="Arial" w:cs="Arial" w:eastAsia="Arial" w:hAnsi="Arial"/>
                <w:sz w:val="14"/>
                <w:szCs w:val="14"/>
                <w:b w:val="1"/>
                <w:bCs w:val="1"/>
                <w:color w:val="auto"/>
              </w:rPr>
              <w:t>Redemption Date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2360" w:type="dxa"/>
            <w:vAlign w:val="bottom"/>
          </w:tcPr>
          <w:p>
            <w:pPr>
              <w:ind w:left="500"/>
              <w:spacing w:after="0"/>
              <w:rPr>
                <w:sz w:val="20"/>
                <w:szCs w:val="20"/>
                <w:color w:val="auto"/>
              </w:rPr>
            </w:pPr>
            <w:r>
              <w:rPr>
                <w:rFonts w:ascii="Arial" w:cs="Arial" w:eastAsia="Arial" w:hAnsi="Arial"/>
                <w:sz w:val="14"/>
                <w:szCs w:val="14"/>
                <w:b w:val="1"/>
                <w:bCs w:val="1"/>
                <w:color w:val="auto"/>
              </w:rPr>
              <w:t>Amount Redeemed</w:t>
            </w:r>
          </w:p>
        </w:tc>
        <w:tc>
          <w:tcPr>
            <w:tcW w:w="2160" w:type="dxa"/>
            <w:vAlign w:val="bottom"/>
          </w:tcPr>
          <w:p>
            <w:pPr>
              <w:ind w:left="540"/>
              <w:spacing w:after="0"/>
              <w:rPr>
                <w:sz w:val="20"/>
                <w:szCs w:val="20"/>
                <w:color w:val="auto"/>
              </w:rPr>
            </w:pPr>
            <w:r>
              <w:rPr>
                <w:rFonts w:ascii="Arial" w:cs="Arial" w:eastAsia="Arial" w:hAnsi="Arial"/>
                <w:sz w:val="14"/>
                <w:szCs w:val="14"/>
                <w:b w:val="1"/>
                <w:bCs w:val="1"/>
                <w:color w:val="auto"/>
              </w:rPr>
              <w:t>USD Equivalent</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3.625%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February 2026</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$130</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8"/>
              </w:rPr>
              <w:t>4.125%</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rPr>
              <w:t>May 2028</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$211</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$211</w:t>
            </w:r>
          </w:p>
        </w:tc>
      </w:tr>
      <w:tr>
        <w:trPr>
          <w:trHeight w:val="229"/>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2.750%</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2030</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November 2031</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$17</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29"/>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7.000%</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August 2037</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6.875%</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February 2038</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$21</w:t>
            </w:r>
          </w:p>
        </w:tc>
      </w:tr>
      <w:tr>
        <w:trPr>
          <w:trHeight w:val="229"/>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6.875%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2039</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8"/>
              </w:rPr>
              <w:t>6.500%</w:t>
            </w:r>
          </w:p>
        </w:tc>
        <w:tc>
          <w:tcPr>
            <w:tcW w:w="2300" w:type="dxa"/>
            <w:vAlign w:val="bottom"/>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tcPr>
          <w:p>
            <w:pPr>
              <w:jc w:val="center"/>
              <w:spacing w:after="0"/>
              <w:rPr>
                <w:sz w:val="20"/>
                <w:szCs w:val="20"/>
                <w:color w:val="auto"/>
              </w:rPr>
            </w:pPr>
            <w:r>
              <w:rPr>
                <w:rFonts w:ascii="Arial" w:cs="Arial" w:eastAsia="Arial" w:hAnsi="Arial"/>
                <w:sz w:val="18"/>
                <w:szCs w:val="18"/>
                <w:color w:val="auto"/>
                <w:w w:val="99"/>
              </w:rPr>
              <w:t>February 2040</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0"/>
        </w:trPr>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4.625%</w:t>
            </w:r>
          </w:p>
        </w:tc>
        <w:tc>
          <w:tcPr>
            <w:tcW w:w="23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rPr>
              <w:t>March 2022</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May 2048</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r>
    </w:tbl>
    <w:p>
      <w:pPr>
        <w:spacing w:after="0" w:line="33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recorded a $129 million loss on debt extinguishment and related expenses within interest and other expense, net, consisting of $38 million paid in excess of carrying value of the debt and from recognizing unamortized discounts and deferred financing costs in earnings and $91 million from recognizing unamortized forward starting swap losses in earnings at the time of the debt extinguishment. The cash payments related to the debt extinguishment were classified as cash outflows from financing activities in the consolidated statement of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March 18, 2022, we completed a redemption of long term U.S. dollar denominated notes for the following amounts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Interest Rate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Redemption Date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Amount Redeemed</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30"/>
        </w:trPr>
        <w:tc>
          <w:tcPr>
            <w:tcW w:w="214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0.625%</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March 2022</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July 2022</w:t>
            </w:r>
          </w:p>
        </w:tc>
        <w:tc>
          <w:tcPr>
            <w:tcW w:w="24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$1,000</w:t>
            </w:r>
          </w:p>
        </w:tc>
        <w:tc>
          <w:tcPr>
            <w:tcW w:w="21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$1,000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January 3, 2022, we closed on our acquisition of Chipita and assumed and entirely paid down €0.4 billion ($0.4 billion) of Chipita's debt during the three months ended March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we issued the following notes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Issuance Date</w:t>
            </w: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Interest Rate</w:t>
            </w:r>
          </w:p>
        </w:tc>
        <w:tc>
          <w:tcPr>
            <w:tcW w:w="22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Maturity Date</w:t>
            </w:r>
          </w:p>
        </w:tc>
        <w:tc>
          <w:tcPr>
            <w:tcW w:w="230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 xml:space="preserve">Gross Proceeds </w:t>
            </w:r>
            <w:r>
              <w:rPr>
                <w:rFonts w:ascii="Arial" w:cs="Arial" w:eastAsia="Arial" w:hAnsi="Arial"/>
                <w:sz w:val="9"/>
                <w:szCs w:val="9"/>
                <w:b w:val="1"/>
                <w:bCs w:val="1"/>
                <w:color w:val="auto"/>
              </w:rPr>
              <w:t>(1)</w:t>
            </w:r>
          </w:p>
        </w:tc>
        <w:tc>
          <w:tcPr>
            <w:tcW w:w="2280" w:type="dxa"/>
            <w:vAlign w:val="bottom"/>
          </w:tcPr>
          <w:p>
            <w:pPr>
              <w:jc w:val="center"/>
              <w:ind w:left="17"/>
              <w:spacing w:after="0"/>
              <w:rPr>
                <w:sz w:val="20"/>
                <w:szCs w:val="20"/>
                <w:color w:val="auto"/>
              </w:rPr>
            </w:pPr>
            <w:r>
              <w:rPr>
                <w:rFonts w:ascii="Arial" w:cs="Arial" w:eastAsia="Arial" w:hAnsi="Arial"/>
                <w:sz w:val="14"/>
                <w:szCs w:val="14"/>
                <w:b w:val="1"/>
                <w:bCs w:val="1"/>
                <w:color w:val="auto"/>
              </w:rPr>
              <w:t>Gross Proceeds USD</w:t>
            </w:r>
          </w:p>
        </w:tc>
        <w:tc>
          <w:tcPr>
            <w:tcW w:w="0" w:type="dxa"/>
            <w:vAlign w:val="bottom"/>
          </w:tcPr>
          <w:p>
            <w:pPr>
              <w:spacing w:after="0"/>
              <w:rPr>
                <w:sz w:val="1"/>
                <w:szCs w:val="1"/>
                <w:color w:val="auto"/>
              </w:rPr>
            </w:pPr>
          </w:p>
        </w:tc>
      </w:tr>
      <w:tr>
        <w:trPr>
          <w:trHeight w:val="175"/>
        </w:trPr>
        <w:tc>
          <w:tcPr>
            <w:tcW w:w="22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2280" w:type="dxa"/>
            <w:vAlign w:val="bottom"/>
          </w:tcPr>
          <w:p>
            <w:pPr>
              <w:jc w:val="center"/>
              <w:ind w:left="17"/>
              <w:spacing w:after="0"/>
              <w:rPr>
                <w:sz w:val="20"/>
                <w:szCs w:val="20"/>
                <w:color w:val="auto"/>
              </w:rPr>
            </w:pPr>
            <w:r>
              <w:rPr>
                <w:rFonts w:ascii="Arial" w:cs="Arial" w:eastAsia="Arial" w:hAnsi="Arial"/>
                <w:sz w:val="14"/>
                <w:szCs w:val="14"/>
                <w:b w:val="1"/>
                <w:bCs w:val="1"/>
                <w:color w:val="auto"/>
              </w:rPr>
              <w:t>Equivalent</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March 2022</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2.125%</w:t>
            </w:r>
          </w:p>
        </w:tc>
        <w:tc>
          <w:tcPr>
            <w:tcW w:w="2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March 2024</w:t>
            </w:r>
          </w:p>
        </w:tc>
        <w:tc>
          <w:tcPr>
            <w:tcW w:w="230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$500</w:t>
            </w:r>
          </w:p>
        </w:tc>
        <w:tc>
          <w:tcPr>
            <w:tcW w:w="22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29"/>
        </w:trPr>
        <w:tc>
          <w:tcPr>
            <w:tcW w:w="2240" w:type="dxa"/>
            <w:vAlign w:val="bottom"/>
          </w:tcPr>
          <w:p>
            <w:pPr>
              <w:ind w:left="600"/>
              <w:spacing w:after="0"/>
              <w:rPr>
                <w:sz w:val="20"/>
                <w:szCs w:val="20"/>
                <w:color w:val="auto"/>
              </w:rPr>
            </w:pPr>
            <w:r>
              <w:rPr>
                <w:rFonts w:ascii="Arial" w:cs="Arial" w:eastAsia="Arial" w:hAnsi="Arial"/>
                <w:sz w:val="18"/>
                <w:szCs w:val="18"/>
                <w:color w:val="auto"/>
              </w:rPr>
              <w:t>March 2022</w:t>
            </w:r>
          </w:p>
        </w:tc>
        <w:tc>
          <w:tcPr>
            <w:tcW w:w="2220" w:type="dxa"/>
            <w:vAlign w:val="bottom"/>
          </w:tcPr>
          <w:p>
            <w:pPr>
              <w:jc w:val="center"/>
              <w:spacing w:after="0"/>
              <w:rPr>
                <w:sz w:val="20"/>
                <w:szCs w:val="20"/>
                <w:color w:val="auto"/>
              </w:rPr>
            </w:pPr>
            <w:r>
              <w:rPr>
                <w:rFonts w:ascii="Arial" w:cs="Arial" w:eastAsia="Arial" w:hAnsi="Arial"/>
                <w:sz w:val="18"/>
                <w:szCs w:val="18"/>
                <w:color w:val="auto"/>
                <w:w w:val="98"/>
              </w:rPr>
              <w:t>2.625%</w:t>
            </w:r>
          </w:p>
        </w:tc>
        <w:tc>
          <w:tcPr>
            <w:tcW w:w="2200" w:type="dxa"/>
            <w:vAlign w:val="bottom"/>
          </w:tcPr>
          <w:p>
            <w:pPr>
              <w:ind w:left="660"/>
              <w:spacing w:after="0"/>
              <w:rPr>
                <w:sz w:val="20"/>
                <w:szCs w:val="20"/>
                <w:color w:val="auto"/>
              </w:rPr>
            </w:pPr>
            <w:r>
              <w:rPr>
                <w:rFonts w:ascii="Arial" w:cs="Arial" w:eastAsia="Arial" w:hAnsi="Arial"/>
                <w:sz w:val="18"/>
                <w:szCs w:val="18"/>
                <w:color w:val="auto"/>
              </w:rPr>
              <w:t>March 2027</w:t>
            </w:r>
          </w:p>
        </w:tc>
        <w:tc>
          <w:tcPr>
            <w:tcW w:w="2300" w:type="dxa"/>
            <w:vAlign w:val="bottom"/>
          </w:tcPr>
          <w:p>
            <w:pPr>
              <w:jc w:val="center"/>
              <w:ind w:left="55"/>
              <w:spacing w:after="0"/>
              <w:rPr>
                <w:sz w:val="20"/>
                <w:szCs w:val="20"/>
                <w:color w:val="auto"/>
              </w:rPr>
            </w:pPr>
            <w:r>
              <w:rPr>
                <w:rFonts w:ascii="Arial" w:cs="Arial" w:eastAsia="Arial" w:hAnsi="Arial"/>
                <w:sz w:val="18"/>
                <w:szCs w:val="18"/>
                <w:color w:val="auto"/>
                <w:w w:val="99"/>
              </w:rPr>
              <w:t>$750</w:t>
            </w:r>
          </w:p>
        </w:tc>
        <w:tc>
          <w:tcPr>
            <w:tcW w:w="2280" w:type="dxa"/>
            <w:vAlign w:val="bottom"/>
          </w:tcPr>
          <w:p>
            <w:pPr>
              <w:jc w:val="center"/>
              <w:ind w:left="37"/>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March 2022</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3.000%</w:t>
            </w:r>
          </w:p>
        </w:tc>
        <w:tc>
          <w:tcPr>
            <w:tcW w:w="2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March 2032</w:t>
            </w:r>
          </w:p>
        </w:tc>
        <w:tc>
          <w:tcPr>
            <w:tcW w:w="230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99"/>
              </w:rPr>
              <w:t>$750</w:t>
            </w:r>
          </w:p>
        </w:tc>
        <w:tc>
          <w:tcPr>
            <w:tcW w:w="22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$750</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gross proceeds from the issuance of notes excluding debt issuance costs, discounts and premiums.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fair value of our short-term borrowings at March 31, 2022 and December 31, 2021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As of March 31, 2022</w:t>
            </w:r>
          </w:p>
        </w:tc>
        <w:tc>
          <w:tcPr>
            <w:tcW w:w="5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As of December 31, 2021</w:t>
            </w:r>
          </w:p>
        </w:tc>
      </w:tr>
      <w:tr>
        <w:trPr>
          <w:trHeight w:val="183"/>
        </w:trPr>
        <w:tc>
          <w:tcPr>
            <w:tcW w:w="5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5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19,009</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ind w:left="1860"/>
              <w:spacing w:after="0"/>
              <w:rPr>
                <w:sz w:val="20"/>
                <w:szCs w:val="20"/>
                <w:color w:val="auto"/>
              </w:rPr>
            </w:pPr>
            <w:r>
              <w:rPr>
                <w:rFonts w:ascii="Arial" w:cs="Arial" w:eastAsia="Arial" w:hAnsi="Arial"/>
                <w:sz w:val="18"/>
                <w:szCs w:val="18"/>
                <w:color w:val="auto"/>
              </w:rPr>
              <w:t>19,704</w:t>
            </w:r>
          </w:p>
        </w:tc>
        <w:tc>
          <w:tcPr>
            <w:tcW w:w="58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19,512</w:t>
            </w:r>
          </w:p>
        </w:tc>
      </w:tr>
      <w:tr>
        <w:trPr>
          <w:trHeight w:val="553"/>
        </w:trPr>
        <w:tc>
          <w:tcPr>
            <w:tcW w:w="524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7"/>
        </w:trPr>
        <w:tc>
          <w:tcPr>
            <w:tcW w:w="524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57"/>
        </w:trPr>
        <w:tc>
          <w:tcPr>
            <w:tcW w:w="5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360" w:type="dxa"/>
            <w:vAlign w:val="bottom"/>
            <w:gridSpan w:val="4"/>
          </w:tcPr>
          <w:p>
            <w:pPr>
              <w:jc w:val="center"/>
              <w:spacing w:after="0"/>
              <w:rPr>
                <w:sz w:val="20"/>
                <w:szCs w:val="20"/>
                <w:color w:val="auto"/>
              </w:rPr>
            </w:pPr>
            <w:r>
              <w:rPr>
                <w:rFonts w:ascii="Arial" w:cs="Arial" w:eastAsia="Arial" w:hAnsi="Arial"/>
                <w:sz w:val="14"/>
                <w:szCs w:val="14"/>
                <w:b w:val="1"/>
                <w:bCs w:val="1"/>
                <w:color w:val="auto"/>
              </w:rPr>
              <w:t>For the Three Months Ended</w:t>
            </w:r>
          </w:p>
        </w:tc>
        <w:tc>
          <w:tcPr>
            <w:tcW w:w="680" w:type="dxa"/>
            <w:vAlign w:val="bottom"/>
          </w:tcPr>
          <w:p>
            <w:pPr>
              <w:spacing w:after="0"/>
              <w:rPr>
                <w:sz w:val="22"/>
                <w:szCs w:val="22"/>
                <w:color w:val="auto"/>
              </w:rPr>
            </w:pPr>
          </w:p>
        </w:tc>
      </w:tr>
      <w:tr>
        <w:trPr>
          <w:trHeight w:val="175"/>
        </w:trPr>
        <w:tc>
          <w:tcPr>
            <w:tcW w:w="5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right="476"/>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r>
      <w:tr>
        <w:trPr>
          <w:trHeight w:val="183"/>
        </w:trPr>
        <w:tc>
          <w:tcPr>
            <w:tcW w:w="5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80" w:type="dxa"/>
            <w:vAlign w:val="bottom"/>
            <w:gridSpan w:val="3"/>
          </w:tcPr>
          <w:p>
            <w:pPr>
              <w:jc w:val="center"/>
              <w:ind w:right="456"/>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44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188"/>
        </w:trPr>
        <w:tc>
          <w:tcPr>
            <w:tcW w:w="5240" w:type="dxa"/>
            <w:vAlign w:val="bottom"/>
          </w:tcPr>
          <w:p>
            <w:pPr>
              <w:ind w:left="20"/>
              <w:spacing w:after="0" w:line="189" w:lineRule="exact"/>
              <w:rPr>
                <w:sz w:val="20"/>
                <w:szCs w:val="20"/>
                <w:color w:val="auto"/>
              </w:rPr>
            </w:pPr>
            <w:r>
              <w:rPr>
                <w:rFonts w:ascii="Arial" w:cs="Arial" w:eastAsia="Arial" w:hAnsi="Arial"/>
                <w:sz w:val="18"/>
                <w:szCs w:val="18"/>
                <w:color w:val="auto"/>
              </w:rPr>
              <w:t>Loss on debt extinguishment and</w:t>
            </w:r>
          </w:p>
        </w:tc>
        <w:tc>
          <w:tcPr>
            <w:tcW w:w="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5240" w:type="dxa"/>
            <w:vAlign w:val="bottom"/>
          </w:tcPr>
          <w:p>
            <w:pPr>
              <w:ind w:left="180"/>
              <w:spacing w:after="0"/>
              <w:rPr>
                <w:sz w:val="20"/>
                <w:szCs w:val="20"/>
                <w:color w:val="auto"/>
              </w:rPr>
            </w:pPr>
            <w:r>
              <w:rPr>
                <w:rFonts w:ascii="Arial" w:cs="Arial" w:eastAsia="Arial" w:hAnsi="Arial"/>
                <w:sz w:val="18"/>
                <w:szCs w:val="18"/>
                <w:color w:val="auto"/>
              </w:rPr>
              <w:t>related expenses</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4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440" w:type="dxa"/>
            <w:vAlign w:val="bottom"/>
          </w:tcPr>
          <w:p>
            <w:pPr>
              <w:spacing w:after="0"/>
              <w:rPr>
                <w:sz w:val="19"/>
                <w:szCs w:val="19"/>
                <w:color w:val="auto"/>
              </w:rPr>
            </w:pPr>
          </w:p>
        </w:tc>
        <w:tc>
          <w:tcPr>
            <w:tcW w:w="252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5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Other income includes amounts excluded from hedge effectiveness related to our net investment hedge derivative contracts that totaled $22 million in the three months ended March 31, 2022 and $20 million in the three months ended March 31, 2021.</w:t>
      </w:r>
    </w:p>
    <w:p>
      <w:pPr>
        <w:spacing w:after="0" w:line="22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Early settlement of forecasted currency exchange contracts comprise $20 million in other (income)/expense, net due to changes in related forecasted future cash flows in the three months ended March 31, 2022.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March 31, 2022</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As of December 31, 2021</w:t>
            </w:r>
          </w:p>
        </w:tc>
      </w:tr>
      <w:tr>
        <w:trPr>
          <w:trHeight w:val="142"/>
        </w:trPr>
        <w:tc>
          <w:tcPr>
            <w:tcW w:w="4540" w:type="dxa"/>
            <w:vAlign w:val="bottom"/>
          </w:tcPr>
          <w:p>
            <w:pPr>
              <w:spacing w:after="0"/>
              <w:rPr>
                <w:sz w:val="12"/>
                <w:szCs w:val="12"/>
                <w:color w:val="auto"/>
              </w:rPr>
            </w:pPr>
          </w:p>
        </w:tc>
        <w:tc>
          <w:tcPr>
            <w:tcW w:w="12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3"/>
              <w:spacing w:after="0" w:line="142" w:lineRule="exact"/>
              <w:rPr>
                <w:sz w:val="20"/>
                <w:szCs w:val="20"/>
                <w:color w:val="auto"/>
              </w:rPr>
            </w:pPr>
            <w:r>
              <w:rPr>
                <w:rFonts w:ascii="Arial" w:cs="Arial" w:eastAsia="Arial" w:hAnsi="Arial"/>
                <w:sz w:val="14"/>
                <w:szCs w:val="14"/>
                <w:b w:val="1"/>
                <w:bCs w:val="1"/>
                <w:color w:val="auto"/>
              </w:rPr>
              <w:t>Liability</w:t>
            </w:r>
          </w:p>
        </w:tc>
      </w:tr>
      <w:tr>
        <w:trPr>
          <w:trHeight w:val="175"/>
        </w:trPr>
        <w:tc>
          <w:tcPr>
            <w:tcW w:w="45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Derivatives</w:t>
            </w:r>
          </w:p>
        </w:tc>
      </w:tr>
      <w:tr>
        <w:trPr>
          <w:trHeight w:val="183"/>
        </w:trPr>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5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5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155"/>
        </w:trPr>
        <w:tc>
          <w:tcPr>
            <w:tcW w:w="45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589</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Equity method investment contracts</w:t>
            </w:r>
            <w:r>
              <w:rPr>
                <w:rFonts w:ascii="Arial" w:cs="Arial" w:eastAsia="Arial" w:hAnsi="Arial"/>
                <w:sz w:val="23"/>
                <w:szCs w:val="23"/>
                <w:color w:val="auto"/>
                <w:vertAlign w:val="superscript"/>
              </w:rPr>
              <w:t>(2)</w:t>
            </w:r>
          </w:p>
        </w:tc>
        <w:tc>
          <w:tcPr>
            <w:tcW w:w="1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724</w:t>
            </w:r>
          </w:p>
        </w:tc>
        <w:tc>
          <w:tcPr>
            <w:tcW w:w="10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347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5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8"/>
        </w:trPr>
        <w:tc>
          <w:tcPr>
            <w:tcW w:w="45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340" w:right="22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1" w:lineRule="exact"/>
        <w:rPr>
          <w:rFonts w:ascii="Arial" w:cs="Arial" w:eastAsia="Arial" w:hAnsi="Arial"/>
          <w:sz w:val="14"/>
          <w:szCs w:val="14"/>
          <w:color w:val="auto"/>
        </w:rPr>
      </w:pPr>
    </w:p>
    <w:p>
      <w:pPr>
        <w:ind w:left="340" w:right="340" w:hanging="332"/>
        <w:spacing w:after="0" w:line="25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Equity method investment contracts consist of the bifurcated embedded derivative option that was a component of the September 20, 2021 €300 million exchangeable bonds issuance. Refer to Note 8, </w:t>
      </w:r>
      <w:r>
        <w:rPr>
          <w:rFonts w:ascii="Arial" w:cs="Arial" w:eastAsia="Arial" w:hAnsi="Arial"/>
          <w:sz w:val="14"/>
          <w:szCs w:val="14"/>
          <w:i w:val="1"/>
          <w:iCs w:val="1"/>
          <w:color w:val="auto"/>
        </w:rPr>
        <w:t>Debt and Borrowing Arrangements.</w:t>
      </w:r>
    </w:p>
    <w:p>
      <w:pPr>
        <w:spacing w:after="0" w:line="215"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commodity derivative and equity method investment contracts are economic hedges that are not designated as accounting hedges. We record derivative assets and liabilities on a gross basis on our condensed consolidated balance sheets. The fair value of our asset derivatives is recorded within other current assets and other assets and the fair value of our liability derivatives is recorded within other current liabilities and other liabilities.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As of March 31, 2022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21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w:t>
      </w:r>
    </w:p>
    <w:p>
      <w:pPr>
        <w:spacing w:after="0" w:line="1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jc w:val="center"/>
              <w:ind w:left="655"/>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6"/>
                <w:szCs w:val="16"/>
                <w:color w:val="auto"/>
              </w:rPr>
            </w:pPr>
          </w:p>
        </w:tc>
      </w:tr>
      <w:tr>
        <w:trPr>
          <w:trHeight w:val="183"/>
        </w:trPr>
        <w:tc>
          <w:tcPr>
            <w:tcW w:w="7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As of March 31, 2022</w:t>
            </w: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2021</w:t>
            </w:r>
          </w:p>
        </w:tc>
      </w:tr>
      <w:tr>
        <w:trPr>
          <w:trHeight w:val="183"/>
        </w:trPr>
        <w:tc>
          <w:tcPr>
            <w:tcW w:w="7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2"/>
          </w:tcPr>
          <w:p>
            <w:pPr>
              <w:jc w:val="center"/>
              <w:ind w:left="655"/>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3,073</w:t>
            </w:r>
          </w:p>
        </w:tc>
        <w:tc>
          <w:tcPr>
            <w:tcW w:w="96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4,822</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10,281</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9,694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1,850</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7,306</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3,525</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r>
      <w:tr>
        <w:trPr>
          <w:trHeight w:val="229"/>
        </w:trPr>
        <w:tc>
          <w:tcPr>
            <w:tcW w:w="744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18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346</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30"/>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802</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29"/>
        </w:trPr>
        <w:tc>
          <w:tcPr>
            <w:tcW w:w="744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18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480</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183"/>
        </w:trPr>
        <w:tc>
          <w:tcPr>
            <w:tcW w:w="7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188"/>
        </w:trPr>
        <w:tc>
          <w:tcPr>
            <w:tcW w:w="7540" w:type="dxa"/>
            <w:vAlign w:val="bottom"/>
          </w:tcPr>
          <w:p>
            <w:pPr>
              <w:ind w:left="140"/>
              <w:spacing w:after="0" w:line="189" w:lineRule="exact"/>
              <w:rPr>
                <w:sz w:val="20"/>
                <w:szCs w:val="20"/>
                <w:color w:val="auto"/>
              </w:rPr>
            </w:pPr>
            <w:r>
              <w:rPr>
                <w:rFonts w:ascii="Arial" w:cs="Arial" w:eastAsia="Arial" w:hAnsi="Arial"/>
                <w:sz w:val="18"/>
                <w:szCs w:val="18"/>
                <w:color w:val="auto"/>
              </w:rPr>
              <w:t>Transfer of realized losses/(gains) in fair value</w:t>
            </w: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7"/>
        </w:trPr>
        <w:tc>
          <w:tcPr>
            <w:tcW w:w="7540" w:type="dxa"/>
            <w:vAlign w:val="bottom"/>
          </w:tcPr>
          <w:p>
            <w:pPr>
              <w:ind w:left="300"/>
              <w:spacing w:after="0"/>
              <w:rPr>
                <w:sz w:val="20"/>
                <w:szCs w:val="20"/>
                <w:color w:val="auto"/>
              </w:rPr>
            </w:pPr>
            <w:r>
              <w:rPr>
                <w:rFonts w:ascii="Arial" w:cs="Arial" w:eastAsia="Arial" w:hAnsi="Arial"/>
                <w:sz w:val="18"/>
                <w:szCs w:val="18"/>
                <w:color w:val="auto"/>
              </w:rPr>
              <w:t>to earnings</w:t>
            </w: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(loss)/gain in fair value</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1200" w:type="dxa"/>
            <w:vAlign w:val="bottom"/>
            <w:tcBorders>
              <w:bottom w:val="single" w:sz="8" w:color="auto"/>
            </w:tcBorders>
          </w:tcPr>
          <w:p>
            <w:pPr>
              <w:jc w:val="right"/>
              <w:ind w:right="9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7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to net earnings were:</w:t>
      </w:r>
    </w:p>
    <w:p>
      <w:pPr>
        <w:spacing w:after="0" w:line="110"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 – forecasted transactions</w:t>
            </w:r>
          </w:p>
        </w:tc>
        <w:tc>
          <w:tcPr>
            <w:tcW w:w="382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25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18</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9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83"/>
        </w:trPr>
        <w:tc>
          <w:tcPr>
            <w:tcW w:w="7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188"/>
        </w:trPr>
        <w:tc>
          <w:tcPr>
            <w:tcW w:w="7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Currency exchange contracts –</w:t>
            </w: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5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22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Based on current market conditions, we would expect to transfer losses of $9 million (net of taxes) for interest rate cash flow hedges to earnings during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March 31, 2022, our longest dated cash flow hedges were interest rate swaps that hedge forecasted interest rate payments over the next 4 years, 5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March 31, 2022 was $7.3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the net investment hedge derivative contracts on other comprehensive earnings and net earnings were as follows:</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3399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 w:lineRule="exact"/>
        <w:rPr>
          <w:sz w:val="20"/>
          <w:szCs w:val="20"/>
          <w:color w:val="auto"/>
        </w:rPr>
      </w:pPr>
    </w:p>
    <w:p>
      <w:pPr>
        <w:ind w:left="8280"/>
        <w:spacing w:after="0"/>
        <w:tabs>
          <w:tab w:leader="none" w:pos="101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3399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2"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560" w:val="left"/>
          <w:tab w:leader="none" w:pos="9040" w:val="left"/>
          <w:tab w:leader="none" w:pos="9440" w:val="left"/>
          <w:tab w:leader="none" w:pos="10940" w:val="left"/>
        </w:tabs>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w:t>
        <w:tab/>
        <w:t>$</w:t>
      </w:r>
      <w:r>
        <w:rPr>
          <w:sz w:val="20"/>
          <w:szCs w:val="20"/>
          <w:color w:val="auto"/>
        </w:rPr>
        <w:tab/>
      </w:r>
      <w:r>
        <w:rPr>
          <w:rFonts w:ascii="Arial" w:cs="Arial" w:eastAsia="Arial" w:hAnsi="Arial"/>
          <w:sz w:val="17"/>
          <w:szCs w:val="17"/>
          <w:color w:val="auto"/>
        </w:rPr>
        <w:t>59</w:t>
      </w:r>
    </w:p>
    <w:p>
      <w:pPr>
        <w:spacing w:after="0" w:line="305" w:lineRule="exact"/>
        <w:rPr>
          <w:sz w:val="20"/>
          <w:szCs w:val="20"/>
          <w:color w:val="auto"/>
        </w:rPr>
      </w:pPr>
    </w:p>
    <w:p>
      <w:pPr>
        <w:ind w:left="340" w:right="120" w:hanging="332"/>
        <w:spacing w:after="0" w:line="258"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73"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r>
      <w:tr>
        <w:trPr>
          <w:trHeight w:val="183"/>
        </w:trPr>
        <w:tc>
          <w:tcPr>
            <w:tcW w:w="7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188"/>
        </w:trPr>
        <w:tc>
          <w:tcPr>
            <w:tcW w:w="7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excluded from the assessment of</w:t>
            </w:r>
          </w:p>
        </w:tc>
        <w:tc>
          <w:tcPr>
            <w:tcW w:w="1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75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3"/>
                <w:szCs w:val="23"/>
                <w:color w:val="auto"/>
                <w:vertAlign w:val="superscript"/>
              </w:rPr>
              <w:t>(1)</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bl>
    <w:p>
      <w:pPr>
        <w:spacing w:after="0" w:line="34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00"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0" w:type="dxa"/>
            <w:vAlign w:val="bottom"/>
            <w:gridSpan w:val="4"/>
          </w:tcPr>
          <w:p>
            <w:pPr>
              <w:jc w:val="right"/>
              <w:ind w:right="987"/>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1520" w:type="dxa"/>
            <w:vAlign w:val="bottom"/>
            <w:shd w:val="clear" w:color="auto" w:fill="CCEEFF"/>
          </w:tcPr>
          <w:p>
            <w:pPr>
              <w:jc w:val="right"/>
              <w:ind w:right="122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1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39"/>
        </w:trPr>
        <w:tc>
          <w:tcPr>
            <w:tcW w:w="544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60" w:type="dxa"/>
            <w:vAlign w:val="bottom"/>
            <w:gridSpan w:val="2"/>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440" w:type="dxa"/>
            <w:vAlign w:val="bottom"/>
          </w:tcPr>
          <w:p>
            <w:pPr>
              <w:spacing w:after="0"/>
              <w:rPr>
                <w:sz w:val="24"/>
                <w:szCs w:val="24"/>
                <w:color w:val="auto"/>
              </w:rPr>
            </w:pPr>
          </w:p>
        </w:tc>
        <w:tc>
          <w:tcPr>
            <w:tcW w:w="322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708"/>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restart"/>
          </w:tcPr>
          <w:p>
            <w:pPr>
              <w:jc w:val="center"/>
              <w:ind w:right="30"/>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2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4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0" w:type="dxa"/>
            <w:vAlign w:val="bottom"/>
            <w:gridSpan w:val="4"/>
          </w:tcPr>
          <w:p>
            <w:pPr>
              <w:jc w:val="center"/>
              <w:ind w:right="708"/>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440" w:type="dxa"/>
            <w:vAlign w:val="bottom"/>
            <w:vMerge w:val="restart"/>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220" w:type="dxa"/>
            <w:vAlign w:val="bottom"/>
            <w:vMerge w:val="restart"/>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3"/>
                <w:szCs w:val="13"/>
                <w:color w:val="auto"/>
              </w:rPr>
            </w:pPr>
          </w:p>
        </w:tc>
        <w:tc>
          <w:tcPr>
            <w:tcW w:w="240" w:type="dxa"/>
            <w:vAlign w:val="bottom"/>
            <w:vMerge w:val="restart"/>
          </w:tcPr>
          <w:p>
            <w:pPr>
              <w:jc w:val="right"/>
              <w:ind w:right="35"/>
              <w:spacing w:after="0"/>
              <w:rPr>
                <w:sz w:val="20"/>
                <w:szCs w:val="20"/>
                <w:color w:val="auto"/>
              </w:rPr>
            </w:pPr>
            <w:r>
              <w:rPr>
                <w:rFonts w:ascii="Arial" w:cs="Arial" w:eastAsia="Arial" w:hAnsi="Arial"/>
                <w:sz w:val="18"/>
                <w:szCs w:val="18"/>
                <w:color w:val="auto"/>
                <w:w w:val="99"/>
              </w:rPr>
              <w:t>$</w:t>
            </w:r>
          </w:p>
        </w:tc>
        <w:tc>
          <w:tcPr>
            <w:tcW w:w="1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30"/>
              <w:spacing w:after="0" w:line="153"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left="167"/>
              <w:spacing w:after="0"/>
              <w:rPr>
                <w:sz w:val="20"/>
                <w:szCs w:val="20"/>
                <w:color w:val="auto"/>
              </w:rPr>
            </w:pPr>
            <w:r>
              <w:rPr>
                <w:rFonts w:ascii="Arial" w:cs="Arial" w:eastAsia="Arial" w:hAnsi="Arial"/>
                <w:sz w:val="14"/>
                <w:szCs w:val="14"/>
                <w:color w:val="auto"/>
              </w:rPr>
              <w:t>net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187"/>
              <w:spacing w:after="0"/>
              <w:rPr>
                <w:sz w:val="20"/>
                <w:szCs w:val="20"/>
                <w:color w:val="auto"/>
              </w:rPr>
            </w:pPr>
            <w:r>
              <w:rPr>
                <w:rFonts w:ascii="Arial" w:cs="Arial" w:eastAsia="Arial" w:hAnsi="Arial"/>
                <w:sz w:val="14"/>
                <w:szCs w:val="14"/>
                <w:color w:val="auto"/>
              </w:rPr>
              <w:t>Cost of sales</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544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1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30"/>
              <w:spacing w:after="0" w:line="153"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left="167"/>
              <w:spacing w:after="0"/>
              <w:rPr>
                <w:sz w:val="20"/>
                <w:szCs w:val="20"/>
                <w:color w:val="auto"/>
              </w:rPr>
            </w:pPr>
            <w:r>
              <w:rPr>
                <w:rFonts w:ascii="Arial" w:cs="Arial" w:eastAsia="Arial" w:hAnsi="Arial"/>
                <w:sz w:val="14"/>
                <w:szCs w:val="14"/>
                <w:color w:val="auto"/>
              </w:rPr>
              <w:t>net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2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jc w:val="center"/>
              <w:ind w:left="187"/>
              <w:spacing w:after="0" w:line="153" w:lineRule="exact"/>
              <w:rPr>
                <w:sz w:val="20"/>
                <w:szCs w:val="20"/>
                <w:color w:val="auto"/>
              </w:rPr>
            </w:pPr>
            <w:r>
              <w:rPr>
                <w:rFonts w:ascii="Arial" w:cs="Arial" w:eastAsia="Arial" w:hAnsi="Arial"/>
                <w:sz w:val="14"/>
                <w:szCs w:val="14"/>
                <w:color w:val="auto"/>
              </w:rPr>
              <w:t>Selling, general and</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440" w:type="dxa"/>
            <w:vAlign w:val="bottom"/>
            <w:vMerge w:val="continue"/>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jc w:val="center"/>
              <w:ind w:right="30"/>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center"/>
              <w:ind w:left="187"/>
              <w:spacing w:after="0"/>
              <w:rPr>
                <w:sz w:val="20"/>
                <w:szCs w:val="20"/>
                <w:color w:val="auto"/>
              </w:rPr>
            </w:pPr>
            <w:r>
              <w:rPr>
                <w:rFonts w:ascii="Arial" w:cs="Arial" w:eastAsia="Arial" w:hAnsi="Arial"/>
                <w:sz w:val="14"/>
                <w:szCs w:val="14"/>
                <w:color w:val="auto"/>
              </w:rPr>
              <w:t>Cost of sales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1220" w:type="dxa"/>
            <w:vAlign w:val="bottom"/>
            <w:shd w:val="clear" w:color="auto" w:fill="CCEEFF"/>
          </w:tcPr>
          <w:p>
            <w:pPr>
              <w:spacing w:after="0"/>
              <w:rPr>
                <w:sz w:val="19"/>
                <w:szCs w:val="19"/>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center"/>
              <w:ind w:right="30"/>
              <w:spacing w:after="0"/>
              <w:rPr>
                <w:sz w:val="20"/>
                <w:szCs w:val="20"/>
                <w:color w:val="auto"/>
              </w:rPr>
            </w:pPr>
            <w:r>
              <w:rPr>
                <w:rFonts w:ascii="Arial" w:cs="Arial" w:eastAsia="Arial" w:hAnsi="Arial"/>
                <w:sz w:val="14"/>
                <w:szCs w:val="14"/>
                <w:color w:val="auto"/>
              </w:rPr>
              <w:t>Gain on equity method</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contracts</w:t>
            </w:r>
          </w:p>
        </w:tc>
        <w:tc>
          <w:tcPr>
            <w:tcW w:w="122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80" w:type="dxa"/>
            <w:vAlign w:val="bottom"/>
            <w:gridSpan w:val="3"/>
            <w:vMerge w:val="continue"/>
            <w:shd w:val="clear" w:color="auto" w:fill="CCEEFF"/>
          </w:tcPr>
          <w:p>
            <w:pPr>
              <w:spacing w:after="0"/>
              <w:rPr>
                <w:sz w:val="15"/>
                <w:szCs w:val="15"/>
                <w:color w:val="auto"/>
              </w:rPr>
            </w:pPr>
          </w:p>
        </w:tc>
        <w:tc>
          <w:tcPr>
            <w:tcW w:w="1900" w:type="dxa"/>
            <w:vAlign w:val="bottom"/>
            <w:gridSpan w:val="2"/>
            <w:shd w:val="clear" w:color="auto" w:fill="CCEEFF"/>
          </w:tcPr>
          <w:p>
            <w:pPr>
              <w:jc w:val="center"/>
              <w:ind w:right="30"/>
              <w:spacing w:after="0"/>
              <w:rPr>
                <w:sz w:val="20"/>
                <w:szCs w:val="20"/>
                <w:color w:val="auto"/>
              </w:rPr>
            </w:pPr>
            <w:r>
              <w:rPr>
                <w:rFonts w:ascii="Arial" w:cs="Arial" w:eastAsia="Arial" w:hAnsi="Arial"/>
                <w:sz w:val="14"/>
                <w:szCs w:val="14"/>
                <w:color w:val="auto"/>
              </w:rPr>
              <w:t>investment transactions</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Early settlement of forecasted currency exchange contracts comprise $ 74 million in cost of sales, $5 million in selling, general and administrative expenses and $20 million in interest and other expense, net in the three months ended March 31,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rPr>
              <w:t>U.S. Plans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16"/>
                <w:szCs w:val="16"/>
                <w:color w:val="auto"/>
              </w:rPr>
            </w:pPr>
          </w:p>
        </w:tc>
      </w:tr>
      <w:tr>
        <w:trPr>
          <w:trHeight w:val="142"/>
        </w:trPr>
        <w:tc>
          <w:tcPr>
            <w:tcW w:w="5220" w:type="dxa"/>
            <w:vAlign w:val="bottom"/>
          </w:tcPr>
          <w:p>
            <w:pPr>
              <w:spacing w:after="0"/>
              <w:rPr>
                <w:sz w:val="12"/>
                <w:szCs w:val="12"/>
                <w:color w:val="auto"/>
              </w:rPr>
            </w:pPr>
          </w:p>
        </w:tc>
        <w:tc>
          <w:tcPr>
            <w:tcW w:w="2520" w:type="dxa"/>
            <w:vAlign w:val="bottom"/>
            <w:gridSpan w:val="4"/>
          </w:tcPr>
          <w:p>
            <w:pPr>
              <w:jc w:val="center"/>
              <w:ind w:left="359"/>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4"/>
          </w:tcPr>
          <w:p>
            <w:pPr>
              <w:jc w:val="center"/>
              <w:ind w:left="399"/>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r>
      <w:tr>
        <w:trPr>
          <w:trHeight w:val="176"/>
        </w:trPr>
        <w:tc>
          <w:tcPr>
            <w:tcW w:w="5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r>
      <w:tr>
        <w:trPr>
          <w:trHeight w:val="183"/>
        </w:trPr>
        <w:tc>
          <w:tcPr>
            <w:tcW w:w="5220" w:type="dxa"/>
            <w:vAlign w:val="bottom"/>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r>
      <w:tr>
        <w:trPr>
          <w:trHeight w:val="183"/>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pension cost/(benefit)</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three months ended March 31, 2022, we contributed less than $1 million to our U.S. pension plans and $64 million to our non-U.S. pension plans, including $25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March 31, 2022, over the remainder of 2022, we plan to make further contributions of approximately $3 million to our U.S. plans and approximately $121 million to our non-U.S. plans. Our actual contributions may be different due to many factors, including changes in tax and other benefit laws, significant differences between expected and actual pension asset performance or interest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$3 million in the three months ended March 31, 2022 and $3 million in the three months ended March 31, 2021 within interest and other expense, net. As of March 31, 2022, the remaining discounted withdrawal liability was $356 million, with $15 million recorded in other current liabilities and $341 million recorded in long-term other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cost/(benefit) consisted of the following:</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92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2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26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Net periodic postretirement health care cost/(benefit)</w:t>
            </w:r>
          </w:p>
        </w:tc>
        <w:tc>
          <w:tcPr>
            <w:tcW w:w="3920" w:type="dxa"/>
            <w:vAlign w:val="bottom"/>
            <w:gridSpan w:val="2"/>
          </w:tcPr>
          <w:p>
            <w:pPr>
              <w:jc w:val="right"/>
              <w:ind w:right="10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80" w:type="dxa"/>
            <w:vAlign w:val="bottom"/>
            <w:vMerge w:val="restart"/>
          </w:tcPr>
          <w:p>
            <w:pPr>
              <w:jc w:val="right"/>
              <w:ind w:right="1750"/>
              <w:spacing w:after="0"/>
              <w:rPr>
                <w:sz w:val="20"/>
                <w:szCs w:val="20"/>
                <w:color w:val="auto"/>
              </w:rPr>
            </w:pPr>
            <w:r>
              <w:rPr>
                <w:rFonts w:ascii="Arial" w:cs="Arial" w:eastAsia="Arial" w:hAnsi="Arial"/>
                <w:sz w:val="18"/>
                <w:szCs w:val="18"/>
                <w:color w:val="auto"/>
              </w:rPr>
              <w:t>21</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8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 consisted of the following:</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6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1141"/>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105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center"/>
              <w:ind w:left="1141"/>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center"/>
              <w:ind w:left="105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12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1101"/>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105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Net periodic postemployment cost</w:t>
            </w:r>
          </w:p>
        </w:tc>
        <w:tc>
          <w:tcPr>
            <w:tcW w:w="12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center"/>
              <w:ind w:left="1141"/>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center"/>
              <w:ind w:left="105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Note 11. Stock Plans</w:t>
            </w: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2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28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tcPr>
          <w:p>
            <w:pPr>
              <w:spacing w:after="0"/>
              <w:rPr>
                <w:sz w:val="20"/>
                <w:szCs w:val="20"/>
                <w:color w:val="auto"/>
              </w:rPr>
            </w:pPr>
            <w:r>
              <w:rPr>
                <w:rFonts w:ascii="Arial" w:cs="Arial" w:eastAsia="Arial" w:hAnsi="Arial"/>
                <w:sz w:val="18"/>
                <w:szCs w:val="18"/>
                <w:color w:val="auto"/>
              </w:rPr>
              <w:t>Stock option activity is reflected below:</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3"/>
                <w:szCs w:val="23"/>
                <w:color w:val="auto"/>
              </w:rPr>
            </w:pPr>
          </w:p>
        </w:tc>
        <w:tc>
          <w:tcPr>
            <w:tcW w:w="1280" w:type="dxa"/>
            <w:vAlign w:val="bottom"/>
          </w:tcPr>
          <w:p>
            <w:pPr>
              <w:jc w:val="center"/>
              <w:ind w:left="28"/>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23"/>
                <w:szCs w:val="23"/>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6280" w:type="dxa"/>
            <w:vAlign w:val="bottom"/>
          </w:tcPr>
          <w:p>
            <w:pPr>
              <w:spacing w:after="0"/>
              <w:rPr>
                <w:sz w:val="11"/>
                <w:szCs w:val="11"/>
                <w:color w:val="auto"/>
              </w:rPr>
            </w:pPr>
          </w:p>
        </w:tc>
        <w:tc>
          <w:tcPr>
            <w:tcW w:w="12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rPr>
              <w:t>Average</w:t>
            </w:r>
          </w:p>
        </w:tc>
        <w:tc>
          <w:tcPr>
            <w:tcW w:w="3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vMerge w:val="restart"/>
          </w:tcPr>
          <w:p>
            <w:pPr>
              <w:jc w:val="center"/>
              <w:ind w:right="49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6280" w:type="dxa"/>
            <w:vAlign w:val="bottom"/>
            <w:vMerge w:val="restart"/>
          </w:tcPr>
          <w:p>
            <w:pPr>
              <w:ind w:left="4920"/>
              <w:spacing w:after="0"/>
              <w:rPr>
                <w:sz w:val="20"/>
                <w:szCs w:val="20"/>
                <w:color w:val="auto"/>
              </w:rPr>
            </w:pPr>
            <w:r>
              <w:rPr>
                <w:rFonts w:ascii="Arial" w:cs="Arial" w:eastAsia="Arial" w:hAnsi="Arial"/>
                <w:sz w:val="14"/>
                <w:szCs w:val="14"/>
                <w:b w:val="1"/>
                <w:bCs w:val="1"/>
                <w:color w:val="auto"/>
              </w:rPr>
              <w:t>Shares Subject</w:t>
            </w:r>
          </w:p>
        </w:tc>
        <w:tc>
          <w:tcPr>
            <w:tcW w:w="12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rPr>
              <w:t>Exercise or</w:t>
            </w:r>
          </w:p>
        </w:tc>
        <w:tc>
          <w:tcPr>
            <w:tcW w:w="340" w:type="dxa"/>
            <w:vAlign w:val="bottom"/>
          </w:tcPr>
          <w:p>
            <w:pPr>
              <w:spacing w:after="0"/>
              <w:rPr>
                <w:sz w:val="11"/>
                <w:szCs w:val="11"/>
                <w:color w:val="auto"/>
              </w:rPr>
            </w:pPr>
          </w:p>
        </w:tc>
        <w:tc>
          <w:tcPr>
            <w:tcW w:w="15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Remaining</w:t>
            </w:r>
          </w:p>
        </w:tc>
        <w:tc>
          <w:tcPr>
            <w:tcW w:w="3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80" w:type="dxa"/>
            <w:vAlign w:val="bottom"/>
            <w:vMerge w:val="continue"/>
          </w:tcPr>
          <w:p>
            <w:pPr>
              <w:spacing w:after="0"/>
              <w:rPr>
                <w:sz w:val="11"/>
                <w:szCs w:val="11"/>
                <w:color w:val="auto"/>
              </w:rPr>
            </w:pPr>
          </w:p>
        </w:tc>
        <w:tc>
          <w:tcPr>
            <w:tcW w:w="128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rPr>
              <w:t>Grant Price</w:t>
            </w:r>
          </w:p>
        </w:tc>
        <w:tc>
          <w:tcPr>
            <w:tcW w:w="340" w:type="dxa"/>
            <w:vAlign w:val="bottom"/>
          </w:tcPr>
          <w:p>
            <w:pPr>
              <w:spacing w:after="0"/>
              <w:rPr>
                <w:sz w:val="11"/>
                <w:szCs w:val="11"/>
                <w:color w:val="auto"/>
              </w:rPr>
            </w:pPr>
          </w:p>
        </w:tc>
        <w:tc>
          <w:tcPr>
            <w:tcW w:w="15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Contractual</w:t>
            </w:r>
          </w:p>
        </w:tc>
        <w:tc>
          <w:tcPr>
            <w:tcW w:w="380" w:type="dxa"/>
            <w:vAlign w:val="bottom"/>
          </w:tcPr>
          <w:p>
            <w:pPr>
              <w:spacing w:after="0"/>
              <w:rPr>
                <w:sz w:val="11"/>
                <w:szCs w:val="11"/>
                <w:color w:val="auto"/>
              </w:rPr>
            </w:pPr>
          </w:p>
        </w:tc>
        <w:tc>
          <w:tcPr>
            <w:tcW w:w="1400" w:type="dxa"/>
            <w:vAlign w:val="bottom"/>
          </w:tcPr>
          <w:p>
            <w:pPr>
              <w:jc w:val="center"/>
              <w:ind w:right="519"/>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6280" w:type="dxa"/>
            <w:vAlign w:val="bottom"/>
          </w:tcPr>
          <w:p>
            <w:pPr>
              <w:ind w:left="5120"/>
              <w:spacing w:after="0"/>
              <w:rPr>
                <w:sz w:val="20"/>
                <w:szCs w:val="20"/>
                <w:color w:val="auto"/>
              </w:rPr>
            </w:pPr>
            <w:r>
              <w:rPr>
                <w:rFonts w:ascii="Arial" w:cs="Arial" w:eastAsia="Arial" w:hAnsi="Arial"/>
                <w:sz w:val="14"/>
                <w:szCs w:val="14"/>
                <w:b w:val="1"/>
                <w:bCs w:val="1"/>
                <w:color w:val="auto"/>
              </w:rPr>
              <w:t>to Option</w:t>
            </w:r>
          </w:p>
        </w:tc>
        <w:tc>
          <w:tcPr>
            <w:tcW w:w="1280" w:type="dxa"/>
            <w:vAlign w:val="bottom"/>
          </w:tcPr>
          <w:p>
            <w:pPr>
              <w:jc w:val="center"/>
              <w:ind w:left="48"/>
              <w:spacing w:after="0"/>
              <w:rPr>
                <w:sz w:val="20"/>
                <w:szCs w:val="20"/>
                <w:color w:val="auto"/>
              </w:rPr>
            </w:pPr>
            <w:r>
              <w:rPr>
                <w:rFonts w:ascii="Arial" w:cs="Arial" w:eastAsia="Arial" w:hAnsi="Arial"/>
                <w:sz w:val="14"/>
                <w:szCs w:val="14"/>
                <w:b w:val="1"/>
                <w:bCs w:val="1"/>
                <w:color w:val="auto"/>
              </w:rPr>
              <w:t>Per Share</w:t>
            </w:r>
          </w:p>
        </w:tc>
        <w:tc>
          <w:tcPr>
            <w:tcW w:w="340" w:type="dxa"/>
            <w:vAlign w:val="bottom"/>
          </w:tcPr>
          <w:p>
            <w:pPr>
              <w:spacing w:after="0"/>
              <w:rPr>
                <w:sz w:val="15"/>
                <w:szCs w:val="15"/>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Term</w:t>
            </w:r>
          </w:p>
        </w:tc>
        <w:tc>
          <w:tcPr>
            <w:tcW w:w="380" w:type="dxa"/>
            <w:vAlign w:val="bottom"/>
          </w:tcPr>
          <w:p>
            <w:pPr>
              <w:spacing w:after="0"/>
              <w:rPr>
                <w:sz w:val="15"/>
                <w:szCs w:val="15"/>
                <w:color w:val="auto"/>
              </w:rPr>
            </w:pPr>
          </w:p>
        </w:tc>
        <w:tc>
          <w:tcPr>
            <w:tcW w:w="1400" w:type="dxa"/>
            <w:vAlign w:val="bottom"/>
          </w:tcPr>
          <w:p>
            <w:pPr>
              <w:jc w:val="center"/>
              <w:ind w:right="4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0628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1, 2022</w:t>
      </w:r>
    </w:p>
    <w:p>
      <w:pPr>
        <w:spacing w:after="0" w:line="63" w:lineRule="exact"/>
        <w:rPr>
          <w:sz w:val="20"/>
          <w:szCs w:val="20"/>
          <w:color w:val="auto"/>
        </w:rPr>
      </w:pPr>
    </w:p>
    <w:p>
      <w:pPr>
        <w:ind w:left="220" w:right="1040"/>
        <w:spacing w:after="0" w:line="281" w:lineRule="auto"/>
        <w:rPr>
          <w:sz w:val="20"/>
          <w:szCs w:val="20"/>
          <w:color w:val="auto"/>
        </w:rPr>
      </w:pPr>
      <w:r>
        <w:rPr>
          <w:rFonts w:ascii="Arial" w:cs="Arial" w:eastAsia="Arial" w:hAnsi="Arial"/>
          <w:sz w:val="18"/>
          <w:szCs w:val="18"/>
          <w:color w:val="auto"/>
        </w:rPr>
        <w:t>Annual grant to eligible employees Additional options issued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options granted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p>
      <w:pPr>
        <w:ind w:left="220"/>
        <w:spacing w:after="0"/>
        <w:rPr>
          <w:sz w:val="20"/>
          <w:szCs w:val="20"/>
          <w:color w:val="auto"/>
        </w:rPr>
      </w:pPr>
      <w:r>
        <w:rPr>
          <w:rFonts w:ascii="Arial" w:cs="Arial" w:eastAsia="Arial" w:hAnsi="Arial"/>
          <w:sz w:val="18"/>
          <w:szCs w:val="18"/>
          <w:color w:val="auto"/>
        </w:rPr>
        <w:t>Options canceled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23,503,759</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$42.65</w:t>
            </w:r>
          </w:p>
        </w:tc>
        <w:tc>
          <w:tcPr>
            <w:tcW w:w="120" w:type="dxa"/>
            <w:vAlign w:val="bottom"/>
          </w:tcPr>
          <w:p>
            <w:pPr>
              <w:spacing w:after="0"/>
              <w:rPr>
                <w:sz w:val="19"/>
                <w:szCs w:val="19"/>
                <w:color w:val="auto"/>
              </w:rPr>
            </w:pPr>
          </w:p>
        </w:tc>
        <w:tc>
          <w:tcPr>
            <w:tcW w:w="13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5 years</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5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million</w:t>
            </w: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400" w:type="dxa"/>
            <w:vAlign w:val="bottom"/>
          </w:tcPr>
          <w:p>
            <w:pPr>
              <w:jc w:val="right"/>
              <w:spacing w:after="0"/>
              <w:rPr>
                <w:sz w:val="20"/>
                <w:szCs w:val="20"/>
                <w:color w:val="auto"/>
              </w:rPr>
            </w:pPr>
            <w:r>
              <w:rPr>
                <w:rFonts w:ascii="Arial" w:cs="Arial" w:eastAsia="Arial" w:hAnsi="Arial"/>
                <w:sz w:val="18"/>
                <w:szCs w:val="18"/>
                <w:color w:val="auto"/>
              </w:rPr>
              <w:t>2,180,540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65.97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1400" w:type="dxa"/>
            <w:vAlign w:val="bottom"/>
          </w:tcPr>
          <w:p>
            <w:pPr>
              <w:jc w:val="right"/>
              <w:spacing w:after="0"/>
              <w:rPr>
                <w:sz w:val="20"/>
                <w:szCs w:val="20"/>
                <w:color w:val="auto"/>
              </w:rPr>
            </w:pPr>
            <w:r>
              <w:rPr>
                <w:rFonts w:ascii="Arial" w:cs="Arial" w:eastAsia="Arial" w:hAnsi="Arial"/>
                <w:sz w:val="18"/>
                <w:szCs w:val="18"/>
                <w:color w:val="auto"/>
              </w:rPr>
              <w:t>2,182,250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1400" w:type="dxa"/>
            <w:vAlign w:val="bottom"/>
          </w:tcPr>
          <w:p>
            <w:pPr>
              <w:jc w:val="right"/>
              <w:spacing w:after="0"/>
              <w:rPr>
                <w:sz w:val="20"/>
                <w:szCs w:val="20"/>
                <w:color w:val="auto"/>
              </w:rPr>
            </w:pPr>
            <w:r>
              <w:rPr>
                <w:rFonts w:ascii="Arial" w:cs="Arial" w:eastAsia="Arial" w:hAnsi="Arial"/>
                <w:sz w:val="18"/>
                <w:szCs w:val="18"/>
                <w:color w:val="auto"/>
              </w:rPr>
              <w:t>(2,329,139)</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r>
      <w:tr>
        <w:trPr>
          <w:trHeight w:val="229"/>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(208,761)</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53.50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23,148,109</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19"/>
                <w:szCs w:val="19"/>
                <w:color w:val="auto"/>
              </w:rPr>
            </w:pP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6 years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580" w:type="dxa"/>
            <w:vAlign w:val="bottom"/>
          </w:tcPr>
          <w:p>
            <w:pPr>
              <w:ind w:left="60"/>
              <w:spacing w:after="0"/>
              <w:rPr>
                <w:sz w:val="20"/>
                <w:szCs w:val="20"/>
                <w:color w:val="auto"/>
              </w:rPr>
            </w:pPr>
            <w:r>
              <w:rPr>
                <w:rFonts w:ascii="Arial" w:cs="Arial" w:eastAsia="Arial" w:hAnsi="Arial"/>
                <w:sz w:val="18"/>
                <w:szCs w:val="18"/>
                <w:color w:val="auto"/>
                <w:w w:val="97"/>
              </w:rPr>
              <w:t>million</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-779780</wp:posOffset>
            </wp:positionV>
            <wp:extent cx="710628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-479425</wp:posOffset>
            </wp:positionV>
            <wp:extent cx="710628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-187960</wp:posOffset>
            </wp:positionV>
            <wp:extent cx="710628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382" w:right="339" w:bottom="1440" w:gutter="0" w:footer="0" w:header="0"/>
          <w:type w:val="continuous"/>
        </w:sectPr>
      </w:pPr>
    </w:p>
    <w:p>
      <w:pPr>
        <w:spacing w:after="0" w:line="142" w:lineRule="exact"/>
        <w:rPr>
          <w:sz w:val="20"/>
          <w:szCs w:val="20"/>
          <w:color w:val="auto"/>
        </w:rPr>
      </w:pPr>
    </w:p>
    <w:p>
      <w:pPr>
        <w:ind w:left="340" w:right="140" w:hanging="332"/>
        <w:spacing w:after="0" w:line="258"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Cash received from options exercised was $70 million in the three months ended March 31, 2022. The actual tax benefit realized and recorded in the provision for income taxes for the tax deductions from the option exercises totaled $10 million in the three months ended March 31,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35" w:lineRule="exact"/>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ind w:left="221"/>
              <w:spacing w:after="0" w:line="135" w:lineRule="exact"/>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2"/>
              <w:spacing w:after="0"/>
              <w:rPr>
                <w:sz w:val="20"/>
                <w:szCs w:val="20"/>
                <w:color w:val="auto"/>
              </w:rPr>
            </w:pPr>
            <w:r>
              <w:rPr>
                <w:rFonts w:ascii="Arial" w:cs="Arial" w:eastAsia="Arial" w:hAnsi="Arial"/>
                <w:sz w:val="11"/>
                <w:szCs w:val="11"/>
                <w:b w:val="1"/>
                <w:bCs w:val="1"/>
                <w:color w:val="auto"/>
                <w:w w:val="88"/>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left="221"/>
              <w:spacing w:after="0" w:line="176" w:lineRule="exact"/>
              <w:rPr>
                <w:sz w:val="20"/>
                <w:szCs w:val="20"/>
                <w:color w:val="auto"/>
              </w:rPr>
            </w:pPr>
            <w:r>
              <w:rPr>
                <w:rFonts w:ascii="Arial" w:cs="Arial" w:eastAsia="Arial" w:hAnsi="Arial"/>
                <w:sz w:val="14"/>
                <w:szCs w:val="14"/>
                <w:b w:val="1"/>
                <w:bCs w:val="1"/>
                <w:color w:val="auto"/>
                <w:w w:val="98"/>
              </w:rPr>
              <w:t xml:space="preserve">Fair Value </w:t>
            </w:r>
            <w:r>
              <w:rPr>
                <w:rFonts w:ascii="Arial" w:cs="Arial" w:eastAsia="Arial" w:hAnsi="Arial"/>
                <w:sz w:val="20"/>
                <w:szCs w:val="20"/>
                <w:b w:val="1"/>
                <w:bCs w:val="1"/>
                <w:color w:val="auto"/>
                <w:w w:val="98"/>
                <w:vertAlign w:val="superscript"/>
              </w:rPr>
              <w:t>(3)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rPr>
              <w:t>$57.04</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99"/>
              </w:rPr>
              <w:t>Feb 24, 2022</w:t>
            </w: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806,590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61.87</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505,090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64.65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653,365</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60.17</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1,965,045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62.02</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(1,670,302)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55.34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(187,367)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15"/>
              <w:spacing w:after="0"/>
              <w:rPr>
                <w:sz w:val="20"/>
                <w:szCs w:val="20"/>
                <w:color w:val="auto"/>
              </w:rPr>
            </w:pPr>
            <w:r>
              <w:rPr>
                <w:rFonts w:ascii="Arial" w:cs="Arial" w:eastAsia="Arial" w:hAnsi="Arial"/>
                <w:sz w:val="18"/>
                <w:szCs w:val="18"/>
                <w:color w:val="auto"/>
                <w:w w:val="97"/>
              </w:rPr>
              <w:t>61.42</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4,775,422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7"/>
              </w:rPr>
              <w:t>59.51</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$5 million in the three months ended March 31, 2022.</w:t>
      </w:r>
    </w:p>
    <w:p>
      <w:pPr>
        <w:ind w:left="340" w:right="40" w:hanging="332"/>
        <w:spacing w:after="0" w:line="247"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On December 2, 2020, our Board of Directors approved an increase of $4.0 billion in the share repurchase program, raising the authorization to $23.7 billion of Common Stock repurchases, and extended the program through December 31, 2023. Repurchases under the program are determined by management and are wholly discretionary. Prior to January 1, 2022, we had repurchased approximately $20.0 billion of Common Stock pursuant to this authorization. During the three months ended March 31, 2022, we repurchased approximately 11 million shares of Common Stock at an average cost of $65.96 per share, or an aggregate cost of approximately $0.8 billion, all of which was paid during the period. All share repurchases were funded through available cash and commercial paper issuances. As of March 31, 2022, we have approximately $2.9 billion in remaining share repurchase capacity.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3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w:t>
      </w:r>
    </w:p>
    <w:p>
      <w:pPr>
        <w:spacing w:after="0" w:line="1" w:lineRule="exact"/>
        <w:rPr>
          <w:sz w:val="20"/>
          <w:szCs w:val="20"/>
          <w:color w:val="auto"/>
        </w:rPr>
      </w:pPr>
    </w:p>
    <w:p>
      <w:pPr>
        <w:ind w:right="20" w:firstLine="8"/>
        <w:spacing w:after="0" w:line="251"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w:t>
      </w:r>
      <w:r>
        <w:rPr>
          <w:rFonts w:ascii="Arial" w:cs="Arial" w:eastAsia="Arial" w:hAnsi="Arial"/>
          <w:sz w:val="18"/>
          <w:szCs w:val="18"/>
          <w:color w:val="212529"/>
        </w:rPr>
        <w:t>but indicated that it would rule on pending motions in due course</w:t>
      </w:r>
      <w:r>
        <w:rPr>
          <w:rFonts w:ascii="Arial" w:cs="Arial" w:eastAsia="Arial" w:hAnsi="Arial"/>
          <w:sz w:val="18"/>
          <w:szCs w:val="18"/>
          <w:color w:val="auto"/>
        </w:rPr>
        <w: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monetary damages, interest and unjust enrichment; costs and fees; and injunctive, declaratory and other unspecified relief. In June 2015, these suits were consolidated in the District Court. On January 3, 2020, the District Court granted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plaintiffs'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and the class action. Although the CFTC action and the class action complaints involve the same alleged conduct, a resolution or decision with respect to one of the matters may not be dispositive as to the outcome of the other matter.</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On January 28, 2021, the European Commission announced it has taken the next procedural step in its investigation and opened formal proceedings. We are cooperating with the investigation and expect to continue to engage with the European Commission as its investigation proceeds. It is not possible to predict how long the investigation will take or the ultimate outcome of this matter.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March 31, 2022, we had no material third-party guarantees recorded on our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7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$42 million in the first quarter of 2022 and $34 million in the first quarter of 2021.</w:t>
      </w:r>
    </w:p>
    <w:p>
      <w:pPr>
        <w:spacing w:after="0" w:line="9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65"/>
        </w:trPr>
        <w:tc>
          <w:tcPr>
            <w:tcW w:w="7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(in millions)</w:t>
            </w:r>
          </w:p>
        </w:tc>
        <w:tc>
          <w:tcPr>
            <w:tcW w:w="1260" w:type="dxa"/>
            <w:vAlign w:val="bottom"/>
          </w:tcPr>
          <w:p>
            <w:pPr>
              <w:spacing w:after="0"/>
              <w:rPr>
                <w:sz w:val="14"/>
                <w:szCs w:val="14"/>
                <w:color w:val="auto"/>
              </w:rPr>
            </w:pPr>
          </w:p>
        </w:tc>
      </w:tr>
      <w:tr>
        <w:trPr>
          <w:trHeight w:val="19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(9,097)</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(8,655)</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(expense)/benefit</w:t>
            </w: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8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(9,043)</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(8,782)</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actuarial gain/(loss)</w:t>
            </w:r>
          </w:p>
        </w:tc>
        <w:tc>
          <w:tcPr>
            <w:tcW w:w="1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56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18"/>
                <w:szCs w:val="18"/>
                <w:color w:val="auto"/>
                <w:vertAlign w:val="superscript"/>
              </w:rPr>
              <w:t>(2)</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9"/>
        </w:trPr>
        <w:tc>
          <w:tcPr>
            <w:tcW w:w="756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18"/>
                <w:szCs w:val="18"/>
                <w:color w:val="auto"/>
                <w:vertAlign w:val="superscript"/>
              </w:rPr>
              <w:t>(2)</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9"/>
        </w:trPr>
        <w:tc>
          <w:tcPr>
            <w:tcW w:w="756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w:t>
            </w:r>
          </w:p>
        </w:tc>
      </w:tr>
      <w:tr>
        <w:trPr>
          <w:trHeight w:val="169"/>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1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derivative gains/(losses)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56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(2)(4)</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756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128"/>
        </w:trPr>
        <w:tc>
          <w:tcPr>
            <w:tcW w:w="75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Accumulated other comprehensive income</w:t>
            </w:r>
          </w:p>
        </w:tc>
        <w:tc>
          <w:tcPr>
            <w:tcW w:w="1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75"/>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attributable to Mondelēz International:</w:t>
            </w: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(10,624)</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(10,690)</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1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3"/>
        </w:trPr>
        <w:tc>
          <w:tcPr>
            <w:tcW w:w="7560" w:type="dxa"/>
            <w:vAlign w:val="bottom"/>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(10,425)</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(10,746)</w:t>
            </w: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amounts include equity method investment transactions recorded within gain on equity method investment transactions.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of the first quarter of 2022, our estimated annual effective tax rate, which excludes discrete tax impacts, was 24.8%.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The estimated annual effective tax rate also considers the impact of the establishment of a valuation allowance related to a deferred tax asset arising from the anticipated 2022 Ukraine loss. Our effective tax rate for the three months ended March 31, 2022 of 21.9% was favorably impacted by discrete net tax benefits of $62 million primarily driven by the Chipita acquisition, which resulted in the release of a portion of the valuation allowance recorded against the deferred tax asset for the step-up of intangible assets in Switzerland.</w:t>
      </w:r>
    </w:p>
    <w:p>
      <w:pPr>
        <w:spacing w:after="0" w:line="23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of the first quarter of 2021, our estimated annual effective tax rate, which excluded discrete tax impacts, was 25.2%.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effective tax rate for the three months ended March 31, 2021 of 19.1% was favorably impacted by discrete net tax benefits of $65 million, primarily driven by a $32 million net benefit from the release of liabilities for uncertain tax positions due to expirations of statutes of limitations and audit settlements in several jurisdictions and a $27 million benefit from a U.S. amended tax return filed to reflect new guidance from the U.S. Treasury Department.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rPr>
                <w:sz w:val="15"/>
                <w:szCs w:val="15"/>
                <w:color w:val="auto"/>
              </w:rPr>
            </w:pPr>
          </w:p>
        </w:tc>
        <w:tc>
          <w:tcPr>
            <w:tcW w:w="31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for basic EPS</w:t>
            </w:r>
          </w:p>
        </w:tc>
        <w:tc>
          <w:tcPr>
            <w:tcW w:w="1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1,389</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188"/>
        </w:trPr>
        <w:tc>
          <w:tcPr>
            <w:tcW w:w="7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Plus incremental shares from assumed conversions</w:t>
            </w: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Basic earnings per share attributable to</w:t>
            </w: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560" w:type="dxa"/>
            <w:vAlign w:val="bottom"/>
            <w:vMerge w:val="continue"/>
          </w:tcPr>
          <w:p>
            <w:pPr>
              <w:spacing w:after="0"/>
              <w:rPr>
                <w:sz w:val="11"/>
                <w:szCs w:val="11"/>
                <w:color w:val="auto"/>
              </w:rPr>
            </w:pPr>
          </w:p>
        </w:tc>
        <w:tc>
          <w:tcPr>
            <w:tcW w:w="1160" w:type="dxa"/>
            <w:vAlign w:val="bottom"/>
            <w:vMerge w:val="restart"/>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11"/>
                <w:szCs w:val="11"/>
                <w:color w:val="auto"/>
              </w:rPr>
            </w:pPr>
          </w:p>
        </w:tc>
        <w:tc>
          <w:tcPr>
            <w:tcW w:w="1200" w:type="dxa"/>
            <w:vAlign w:val="bottom"/>
            <w:vMerge w:val="restart"/>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95"/>
        </w:trPr>
        <w:tc>
          <w:tcPr>
            <w:tcW w:w="7560" w:type="dxa"/>
            <w:vAlign w:val="bottom"/>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2.1 million in the first three months of 2022 and 3.6 million in the first three months of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7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We manufacture and market primarily snack food products, including biscuits, chocolate, gum &amp; candy and various cheese &amp; grocery products, as well as powdered beverage products.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183"/>
        </w:trPr>
        <w:tc>
          <w:tcPr>
            <w:tcW w:w="7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Europe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2"/>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AMEA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188"/>
        </w:trPr>
        <w:tc>
          <w:tcPr>
            <w:tcW w:w="75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7"/>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1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3, </w:t>
      </w:r>
      <w:r>
        <w:rPr>
          <w:rFonts w:ascii="Arial" w:cs="Arial" w:eastAsia="Arial" w:hAnsi="Arial"/>
          <w:sz w:val="18"/>
          <w:szCs w:val="18"/>
          <w:i w:val="1"/>
          <w:iCs w:val="1"/>
          <w:color w:val="auto"/>
        </w:rPr>
        <w:t>Inventories</w:t>
      </w:r>
      <w:r>
        <w:rPr>
          <w:rFonts w:ascii="Arial" w:cs="Arial" w:eastAsia="Arial" w:hAnsi="Arial"/>
          <w:sz w:val="18"/>
          <w:szCs w:val="18"/>
          <w:color w:val="auto"/>
        </w:rPr>
        <w:t>, 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more information on our interest and other expense, net for each period.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March 31, 2022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000" w:type="dxa"/>
            <w:vAlign w:val="bottom"/>
          </w:tcPr>
          <w:p>
            <w:pPr>
              <w:jc w:val="center"/>
              <w:ind w:left="319"/>
              <w:spacing w:after="0" w:line="142" w:lineRule="exact"/>
              <w:rPr>
                <w:sz w:val="20"/>
                <w:szCs w:val="20"/>
                <w:color w:val="auto"/>
              </w:rPr>
            </w:pPr>
            <w:r>
              <w:rPr>
                <w:rFonts w:ascii="Arial" w:cs="Arial" w:eastAsia="Arial" w:hAnsi="Arial"/>
                <w:sz w:val="14"/>
                <w:szCs w:val="14"/>
                <w:b w:val="1"/>
                <w:bCs w:val="1"/>
                <w:color w:val="auto"/>
              </w:rPr>
              <w:t>Latin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100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rPr>
              <w:t>America</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 xml:space="preserve">Three Months Ended March 31, 2021 </w:t>
            </w:r>
            <w:r>
              <w:rPr>
                <w:rFonts w:ascii="Arial" w:cs="Arial" w:eastAsia="Arial" w:hAnsi="Arial"/>
                <w:sz w:val="18"/>
                <w:szCs w:val="18"/>
                <w:b w:val="1"/>
                <w:bCs w:val="1"/>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000" w:type="dxa"/>
            <w:vAlign w:val="bottom"/>
          </w:tcPr>
          <w:p>
            <w:pPr>
              <w:jc w:val="center"/>
              <w:ind w:left="319"/>
              <w:spacing w:after="0" w:line="142" w:lineRule="exact"/>
              <w:rPr>
                <w:sz w:val="20"/>
                <w:szCs w:val="20"/>
                <w:color w:val="auto"/>
              </w:rPr>
            </w:pPr>
            <w:r>
              <w:rPr>
                <w:rFonts w:ascii="Arial" w:cs="Arial" w:eastAsia="Arial" w:hAnsi="Arial"/>
                <w:sz w:val="14"/>
                <w:szCs w:val="14"/>
                <w:b w:val="1"/>
                <w:bCs w:val="1"/>
                <w:color w:val="auto"/>
              </w:rPr>
              <w:t>Latin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000" w:type="dxa"/>
            <w:vAlign w:val="bottom"/>
            <w:tcBorders>
              <w:bottom w:val="single" w:sz="8" w:color="auto"/>
            </w:tcBorders>
          </w:tcPr>
          <w:p>
            <w:pPr>
              <w:jc w:val="center"/>
              <w:ind w:left="319"/>
              <w:spacing w:after="0"/>
              <w:rPr>
                <w:sz w:val="20"/>
                <w:szCs w:val="20"/>
                <w:color w:val="auto"/>
              </w:rPr>
            </w:pPr>
            <w:r>
              <w:rPr>
                <w:rFonts w:ascii="Arial" w:cs="Arial" w:eastAsia="Arial" w:hAnsi="Arial"/>
                <w:sz w:val="14"/>
                <w:szCs w:val="14"/>
                <w:b w:val="1"/>
                <w:bCs w:val="1"/>
                <w:color w:val="auto"/>
              </w:rPr>
              <w:t>America</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right="660" w:hanging="332"/>
        <w:spacing w:after="0" w:line="258" w:lineRule="auto"/>
        <w:tabs>
          <w:tab w:leader="none" w:pos="3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snack product categories include biscuits, chocolate and gum &amp; candy. During 2022, we realigned some of our products between our biscuits and chocolate categories; as such, we reclassified the product category net revenues on a basis consistent with the 2022 presentation.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7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make and sell primarily snacks, including biscuits, chocolate, gum &amp; candy as well as various cheese &amp; grocery and powdered beverage products around the world.</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 in Ukraine</w:t>
      </w:r>
    </w:p>
    <w:p>
      <w:pPr>
        <w:spacing w:after="0" w:line="2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February 2022, Russia began a military invasion of Ukraine. For the safety of our employees, we stopped production and closed our facilities in Ukraine. We are providing all of our employees with compensation and with help in securing shelter in neighboring countries. We have also made cash and in-kind donations to several humanitarian aid organizations in the region.</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March 2022, our two Ukrainian manufacturing facilities in Trostyanets and Vyshhorod were significantly damaged. In connection with the damage to these plants and impairment of other assets, primarily inventory, other plant, property and equipment, as well as increased allowances on our receivables, we recorded $143 million of total charges directly incurred as a result of the war in Ukraine, including an accrual for continued compensation for our employees in Ukraine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to the condensed consolidated financial statements, and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 We are increasing operations and providing resources in other primarily European manufacturing and distribution facilities to seek to continue supplying our Ukraine business's customers and consumers across Europe.</w:t>
      </w:r>
    </w:p>
    <w:p>
      <w:pPr>
        <w:spacing w:after="0" w:line="2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food company, we continue to work to support the continuity of food supply and provide packaged foods to consumers. We have discontinued new capital investments and suspended our advertising spending in Russia, but as a food company with more than 2,500 employees in Russia, we have not ceased operations given we believe we play a role in the continuity of the food supply. We are required to comply with applicable international sanctions and other measures that have been imposed on Russian entities and additional sanctions and measures are under consideration. We continue to evaluate the situation in Ukraine and Russia and our ability to control our operating activities and businesses on an ongoing basis, and we continue to consolidate both our Ukrainian and Russian subsidiaries. Prior to the onset of the war, Ukraine generated 0.5% and Russia generated 2.9% of 2021 consolidated net 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provide more information on risks related to the war in Ukraine in our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section and under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7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the third year of the COVID-19 global pandemic, our main priority remains the safety of our employees as well as continuing to help maintain the global food supply. During the pandemic, particularly in 2020 and also in 2021, we experienced an overall increase in demand and revenue growth as consumers increased their food purchases for in-home consumption in many markets, while parts of our business were negatively affected by related lockdowns and restrictions. In late 2021, global supply chain, transportation and labor issues escalated and we experienced significantly higher operating costs, including higher overall raw material, transportation, labor and energy costs that have continued to rise in 2022 as the pandemic continues to affect global markets and operations.</w:t>
      </w:r>
    </w:p>
    <w:p>
      <w:pPr>
        <w:spacing w:after="0" w:line="23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first quarter of 2022, our net revenues continued to grow with net revenue growth of 7.3% and Organic Net Revenue growth of 8.6%, compared to the first quarter of 2021. In the first quarter of 2022, we continued to see increased demand primarily for our snack category products and revenue growth in both our emerging and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developed markets relative to the first quarter of 2021. We continued to also experience significantly higher operating costs. See additional details on our results in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During the pandemic, we continued to closely monitor our cash position and cash flows and worked to increase our access to financing. As of March 31, 2022, our liquidity remains strong. During the first quarter of 2022, we funded our acquisition of Chipita (see additional information below) and issued $2 billion of long-term debt, refinancing approximately $2 billion of tendered and redeemed debt (refer to Note 8,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Borrowing Arrangements </w:t>
      </w:r>
      <w:r>
        <w:rPr>
          <w:rFonts w:ascii="Arial" w:cs="Arial" w:eastAsia="Arial" w:hAnsi="Arial"/>
          <w:sz w:val="18"/>
          <w:szCs w:val="18"/>
          <w:color w:val="auto"/>
        </w:rPr>
        <w:t>for details) ahead of a 2022 rising interest rate environment. We generated $1.1 billion of cash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ending the quarter with cash and cash equivalents of $1.9 billion as of March 31, 2022. We also have $9 billion of unused credit facilities available as well as ongoing access to additional financing. Our JDE Peet's and KDP equity method investments also give us additional financial flexibility.</w:t>
      </w:r>
    </w:p>
    <w:p>
      <w:pPr>
        <w:spacing w:after="0" w:line="23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will continue to proactively manage our business in response to the evolving global economic environment and related uncertainty and business risks as well as prioritize and support our employees and customers. We continue to take steps to mitigate impacts to our supply chain, operations, technology and assets. We intend to continue to execute on our strategic operating plans as the situation evolves. We seek to further our strategic priorities and position the Company to withstand the current uncertainties and emerge stronger.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Chipita Acquisition</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 xml:space="preserve">On January 3, 2022, we closed on our acquisition of Chipita S.A., which is a strategic complement to our existing snacks portfolio and advances our strategy to become the global leader in broader snacking. We paid cash consideration of € 1.3 billion ($1.4 billion), net of cash received, and we assumed and paid down €0.4 billion ($0.4 billion) of Chipita's debt in January for a total purchase price of approximately €1.7 billion ($1.9 billion).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for more information on the impact of the acquisition on our first quarter 2022 results and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 on the acquisition.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88" w:lineRule="exact"/>
        <w:rPr>
          <w:sz w:val="20"/>
          <w:szCs w:val="20"/>
          <w:color w:val="auto"/>
        </w:rPr>
      </w:pPr>
    </w:p>
    <w:p>
      <w:pPr>
        <w:ind w:left="660" w:right="80" w:hanging="328"/>
        <w:spacing w:after="0" w:line="245"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18"/>
          <w:szCs w:val="18"/>
          <w:color w:val="auto"/>
        </w:rPr>
        <w:t>Net revenues increased 7.3% to $7.8 billion in the first three months of 2022 as compared to the same period in the prior year. In the first quarter of 2022, our net revenue growth continued to reflect increased demand for most of our snack category products in both our emerging and developed markets relative to 2021. Overall, our net revenue growth was driven by higher net pricing, favorable volume/mix and incremental net revenues from acquisitions, partially offset by unfavorable currency translation.</w:t>
      </w:r>
    </w:p>
    <w:p>
      <w:pPr>
        <w:spacing w:after="0" w:line="251" w:lineRule="exact"/>
        <w:rPr>
          <w:rFonts w:ascii="Arial" w:cs="Arial" w:eastAsia="Arial" w:hAnsi="Arial"/>
          <w:sz w:val="20"/>
          <w:szCs w:val="20"/>
          <w:color w:val="auto"/>
        </w:rPr>
      </w:pPr>
    </w:p>
    <w:p>
      <w:pPr>
        <w:ind w:left="660" w:right="60" w:hanging="328"/>
        <w:spacing w:after="0" w:line="247"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18"/>
          <w:szCs w:val="18"/>
          <w:color w:val="auto"/>
        </w:rPr>
        <w:t xml:space="preserve">Organic Net Revenue, a non-GAAP financial measure, increased 8.6% to $7.9 billion in the first three months of 2022 as compared to same period in the prior year. During the first three months of 2022, Organic Net Revenue grew due to higher net pricing and favorable volume/mix.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below for additional information.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50" w:lineRule="exact"/>
        <w:rPr>
          <w:rFonts w:ascii="Arial" w:cs="Arial" w:eastAsia="Arial" w:hAnsi="Arial"/>
          <w:sz w:val="20"/>
          <w:szCs w:val="20"/>
          <w:color w:val="auto"/>
        </w:rPr>
      </w:pPr>
    </w:p>
    <w:p>
      <w:pPr>
        <w:ind w:left="660" w:right="180" w:hanging="328"/>
        <w:spacing w:after="0" w:line="245"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18"/>
          <w:szCs w:val="18"/>
          <w:color w:val="auto"/>
        </w:rPr>
        <w:t>Diluted EPS attributable to Mondelēz International decreased (10.3)% to $0.61 in the first three months of 2022 as compared to the same period in the prior year. The decrease was primarily driven by incremental costs incurred due to the war in Ukraine, unfavorable year-over-year mark-to-market impacts from currency and commodity derivatives and intangible asset impairment charges incurred in 2022, partially offset by an increase in Adjusted EPS and lower Simplify to Grow program costs.</w:t>
      </w:r>
    </w:p>
    <w:p>
      <w:pPr>
        <w:spacing w:after="0" w:line="251" w:lineRule="exact"/>
        <w:rPr>
          <w:rFonts w:ascii="Arial" w:cs="Arial" w:eastAsia="Arial" w:hAnsi="Arial"/>
          <w:sz w:val="20"/>
          <w:szCs w:val="20"/>
          <w:color w:val="auto"/>
        </w:rPr>
      </w:pPr>
    </w:p>
    <w:p>
      <w:pPr>
        <w:ind w:left="660" w:hanging="328"/>
        <w:spacing w:after="0" w:line="248" w:lineRule="auto"/>
        <w:tabs>
          <w:tab w:leader="none" w:pos="621" w:val="left"/>
        </w:tabs>
        <w:numPr>
          <w:ilvl w:val="0"/>
          <w:numId w:val="16"/>
        </w:numPr>
        <w:rPr>
          <w:rFonts w:ascii="Arial" w:cs="Arial" w:eastAsia="Arial" w:hAnsi="Arial"/>
          <w:sz w:val="20"/>
          <w:szCs w:val="20"/>
          <w:color w:val="auto"/>
        </w:rPr>
      </w:pPr>
      <w:r>
        <w:rPr>
          <w:rFonts w:ascii="Arial" w:cs="Arial" w:eastAsia="Arial" w:hAnsi="Arial"/>
          <w:sz w:val="18"/>
          <w:szCs w:val="18"/>
          <w:color w:val="auto"/>
        </w:rPr>
        <w:t xml:space="preserve">Adjusted EPS, a non-GAAP financial measure, increased 6.3% to $0.84 in the first three months of 2022 as compared to the same period in the prior year. On a constant currency basis, Adjusted EPS increased 13.9% to $0.90 in the first three months of 2022 as compared to the same periods in the prior year. The increase in Adjusted EPS was driven by operating gains, lower interest expense and fewer shares outstanding, partially offset by unfavorable currency translation, higher taxes primarily due to lower net benefits from non-recurring discrete tax items and lower benefit plan non-service income.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appearing later in this section).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7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2021 and discussed in the footnotes to our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5" w:lineRule="exact"/>
        <w:rPr>
          <w:sz w:val="20"/>
          <w:szCs w:val="20"/>
          <w:color w:val="auto"/>
        </w:rPr>
      </w:pPr>
    </w:p>
    <w:p>
      <w:pPr>
        <w:ind w:left="660" w:hanging="328"/>
        <w:spacing w:after="0" w:line="250" w:lineRule="auto"/>
        <w:tabs>
          <w:tab w:leader="none" w:pos="621" w:val="left"/>
        </w:tabs>
        <w:numPr>
          <w:ilvl w:val="0"/>
          <w:numId w:val="17"/>
        </w:numPr>
        <w:rPr>
          <w:rFonts w:ascii="Arial" w:cs="Arial" w:eastAsia="Arial" w:hAnsi="Arial"/>
          <w:sz w:val="20"/>
          <w:szCs w:val="20"/>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first quarter of 2022. This is consistent with the latest findings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third annual </w:t>
      </w:r>
      <w:r>
        <w:rPr>
          <w:rFonts w:ascii="Arial" w:cs="Arial" w:eastAsia="Arial" w:hAnsi="Arial"/>
          <w:sz w:val="18"/>
          <w:szCs w:val="18"/>
          <w:i w:val="1"/>
          <w:iCs w:val="1"/>
          <w:color w:val="auto"/>
        </w:rPr>
        <w:t>State of Snacking</w:t>
      </w:r>
      <w:r>
        <w:rPr>
          <w:rFonts w:ascii="Arial" w:cs="Arial" w:eastAsia="Arial" w:hAnsi="Arial"/>
          <w:sz w:val="18"/>
          <w:szCs w:val="18"/>
          <w:color w:val="auto"/>
        </w:rPr>
        <w:t xml:space="preserve"> report, commissioned by Mondelēz International and issued in January 2022. The research report was conducted in conjunction with consumer poll specialist The Harris Poll and summarizes the findings from interviews with thousands of consumers across 12 countries. The report underscores the growth of snacking worldwide and how behavior, sentiment and routines surrounding food are being reshaped by factors such as the COVID-19 pandemic. Snacking, which was already increasing among consumers, continues to grow as we noted in our latest Annual Report on Form 10-K. Our outlook for future snacks revenue growth remains strong, but we anticipate some volatility in revenues while current events and conditions continue. As the COVID-19 pandemic, war in Ukraine and related impacts continue, we could see shifts in consumer demand and in our sales and product mix that could have a negative impact on our results. We continue to monitor volatility across markets, including global consumer, energy and other commodity, transportation, labor, currency and capital markets. We expect greater inflation, including input cost volatility and a higher aggregate cost environment in 2022, as the war in Ukraine, the pandemic, supply chain disruptions (affecting the availability of raw materials, packaging, transportation and other costs), rising energy costs, labor shortages, adverse weather events and conditions and other factors are expected to continue. Refer also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and Item 3,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w:t>
      </w:r>
    </w:p>
    <w:p>
      <w:pPr>
        <w:ind w:left="660" w:hanging="328"/>
        <w:spacing w:after="0" w:line="249" w:lineRule="auto"/>
        <w:tabs>
          <w:tab w:leader="none" w:pos="621" w:val="left"/>
        </w:tabs>
        <w:numPr>
          <w:ilvl w:val="0"/>
          <w:numId w:val="17"/>
        </w:numPr>
        <w:rPr>
          <w:rFonts w:ascii="Arial" w:cs="Arial" w:eastAsia="Arial" w:hAnsi="Arial"/>
          <w:sz w:val="20"/>
          <w:szCs w:val="20"/>
          <w:color w:val="auto"/>
        </w:rPr>
      </w:pPr>
      <w:r>
        <w:rPr>
          <w:rFonts w:ascii="Arial" w:cs="Arial" w:eastAsia="Arial" w:hAnsi="Arial"/>
          <w:sz w:val="18"/>
          <w:szCs w:val="18"/>
          <w:i w:val="1"/>
          <w:iCs w:val="1"/>
          <w:color w:val="auto"/>
        </w:rPr>
        <w:t>War in Ukraine</w:t>
      </w:r>
      <w:r>
        <w:rPr>
          <w:rFonts w:ascii="Arial" w:cs="Arial" w:eastAsia="Arial" w:hAnsi="Arial"/>
          <w:sz w:val="18"/>
          <w:szCs w:val="18"/>
          <w:color w:val="auto"/>
        </w:rPr>
        <w:t>. We expect to experience increased volatility and higher costs in international supply chains and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energy and other commodities, currencies and capital markets) in connection with the war in Ukraine with related negative impacts to our operating results that we cannot fully predict. We also expect increased inflationary pressures that will adversely impact our operating costs, particularly as the war continues. Demand for our products may also be negatively impacted, particularly in those markets closest to Ukraine or other markets that are more vulnerable to consumer price increases. We have also been expanding operations in other European facilities to continue supplying the majority of our Ukraine business's customers and consumers across Europe. We continue to take action and evaluate additional ways to mitigate risks, including executing business continuity plans to cover products produced in Ukraine and taking actions to adjust product offerings, package sizes and pricing to help address rising costs. While we are working to mitigate negative effects on our business, we may not be able to fully predict or respond to all impacts on a timely basis to prevent adverse impacts to our results. We also continue to monitor the situation in Russia and any risks to our employees, operations or assets. Any ongoing or new developments in the war could have a material negative effect on our business and results in the future.</w:t>
      </w:r>
    </w:p>
    <w:p>
      <w:pPr>
        <w:spacing w:after="0" w:line="4" w:lineRule="exact"/>
        <w:rPr>
          <w:rFonts w:ascii="Arial" w:cs="Arial" w:eastAsia="Arial" w:hAnsi="Arial"/>
          <w:sz w:val="20"/>
          <w:szCs w:val="20"/>
          <w:color w:val="auto"/>
        </w:rPr>
      </w:pPr>
    </w:p>
    <w:p>
      <w:pPr>
        <w:ind w:left="660" w:right="40" w:hanging="328"/>
        <w:spacing w:after="0" w:line="250" w:lineRule="auto"/>
        <w:tabs>
          <w:tab w:leader="none" w:pos="621" w:val="left"/>
        </w:tabs>
        <w:numPr>
          <w:ilvl w:val="0"/>
          <w:numId w:val="17"/>
        </w:numPr>
        <w:rPr>
          <w:rFonts w:ascii="Arial" w:cs="Arial" w:eastAsia="Arial" w:hAnsi="Arial"/>
          <w:sz w:val="20"/>
          <w:szCs w:val="20"/>
          <w:i w:val="1"/>
          <w:iCs w:val="1"/>
          <w:color w:val="auto"/>
        </w:rPr>
      </w:pPr>
      <w:r>
        <w:rPr>
          <w:rFonts w:ascii="Arial" w:cs="Arial" w:eastAsia="Arial" w:hAnsi="Arial"/>
          <w:sz w:val="18"/>
          <w:szCs w:val="18"/>
          <w:i w:val="1"/>
          <w:iCs w:val="1"/>
          <w:color w:val="auto"/>
        </w:rPr>
        <w:t>COVID-19</w:t>
      </w:r>
      <w:r>
        <w:rPr>
          <w:rFonts w:ascii="Arial" w:cs="Arial" w:eastAsia="Arial" w:hAnsi="Arial"/>
          <w:sz w:val="18"/>
          <w:szCs w:val="18"/>
          <w:color w:val="auto"/>
        </w:rPr>
        <w:t>. As described above, we continue to monitor and respond to the COVID-19 pandemic. While its impact is not fully known,</w:t>
      </w:r>
      <w:r>
        <w:rPr>
          <w:rFonts w:ascii="Arial" w:cs="Arial" w:eastAsia="Arial" w:hAnsi="Arial"/>
          <w:sz w:val="18"/>
          <w:szCs w:val="18"/>
          <w:i w:val="1"/>
          <w:iCs w:val="1"/>
          <w:color w:val="auto"/>
        </w:rPr>
        <w:t xml:space="preserve"> </w:t>
      </w:r>
      <w:r>
        <w:rPr>
          <w:rFonts w:ascii="Arial" w:cs="Arial" w:eastAsia="Arial" w:hAnsi="Arial"/>
          <w:sz w:val="18"/>
          <w:szCs w:val="18"/>
          <w:color w:val="auto"/>
        </w:rPr>
        <w:t>it has had a material negative effect on the global and local economies and could have a material negative effect on our business and results in the future, particularly if there are significant adverse changes to consumer demand, product mix or operating costs; significant disruptions to the supply, production or distribution of our products; or deterioration of the credit or financial stability of our customers and other business partners. While we have seen some improvements in many markets where we sell and operate, COVID-19 variants and spikes in infections continue across a number of markets. Disruptions or our failure to effectively respond to them could further increase product or distribution costs and prices and negatively affect operations and results. Although we hedge to mitigate exposures to commodity and other input cost increases, we cannot fully hedge against all cost increases and changes in costs, and our hedging strategies may not protect us from increases in specific raw materials or other costs. We also may not be able to adjust pricing timely or fully, and this may negatively affect our revenue, margins or earnings. If a significant economic or credit deterioration occurs, it could impair credit availability and our ability to raise capital when needed. A significant disruption in the financial markets may also have a negative effect on our derivative counterparties and could impair our banking or other business partners, on whom we rely for access to capital and as counterparties for a number of our derivative contracts. As we continue to manage operations during the pandemic, we will continue to prioritize the safety of our employees and consumers and we may continue to incur increased labor, customer service, commodity, transportation and other costs. We are working to mitigate negative impacts to our business from the COVID-19 pandemic, but we may not be able to fully predict or respond to all impacts on a timely basis to prevent adverse impacts to our results. Any of these and other developments could materially harm our business, results of operations and financial condition.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15" w:lineRule="exact"/>
        <w:rPr>
          <w:sz w:val="20"/>
          <w:szCs w:val="20"/>
          <w:color w:val="auto"/>
        </w:rPr>
      </w:pPr>
    </w:p>
    <w:p>
      <w:pPr>
        <w:ind w:left="660" w:hanging="328"/>
        <w:spacing w:after="0" w:line="249"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18"/>
          <w:szCs w:val="18"/>
          <w:i w:val="1"/>
          <w:iCs w:val="1"/>
          <w:color w:val="auto"/>
        </w:rPr>
        <w:t xml:space="preserve">Ricolino acquisition. </w:t>
      </w:r>
      <w:r>
        <w:rPr>
          <w:rFonts w:ascii="Arial" w:cs="Arial" w:eastAsia="Arial" w:hAnsi="Arial"/>
          <w:sz w:val="18"/>
          <w:szCs w:val="18"/>
          <w:color w:val="auto"/>
        </w:rPr>
        <w:t>On April 24, 2022, we entered into an agreement with Grupo Bimbo to acquire Ricolino, its confectionery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located primarily in Mexico for a purchase price of approximately $1.3 billion, subject to closing purchase price adjustments. The transaction, which will be funded through a combination of an issuance of debt and cash on hand, is subject to relevant antitrust approvals and closing conditions and is expected to close in late Q3 or early Q4 2022.</w:t>
      </w:r>
    </w:p>
    <w:p>
      <w:pPr>
        <w:ind w:left="660" w:right="140" w:hanging="328"/>
        <w:spacing w:after="0" w:line="248"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continue to monitor existing and potential future tax reform around the world. In March 2022, President Biden sent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2023 budget to Congress and in November 2021, the U.S. House of Representatives passed a bill that has not yet been acted on by the Senate; both proposals contain significant changes to currently enacted U.S. tax rules. In addition, the Organization of Economic Cooperation and Development (OECD) continues to work toward agreement regarding model rules for a global minimum tax. These proposed U.S. and global legislative changes could have a material effect on us if enacted.</w:t>
      </w:r>
    </w:p>
    <w:p>
      <w:pPr>
        <w:ind w:left="660" w:right="60" w:hanging="328"/>
        <w:spacing w:after="0" w:line="249"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18"/>
          <w:szCs w:val="18"/>
          <w:i w:val="1"/>
          <w:iCs w:val="1"/>
          <w:color w:val="auto"/>
        </w:rPr>
        <w:t>Türkiye, Argentina and currency volatility</w:t>
      </w:r>
      <w:r>
        <w:rPr>
          <w:rFonts w:ascii="Arial" w:cs="Arial" w:eastAsia="Arial" w:hAnsi="Arial"/>
          <w:sz w:val="18"/>
          <w:szCs w:val="18"/>
          <w:color w:val="auto"/>
        </w:rPr>
        <w:t>. During the first quarter of 2022, currency exchange rate volatility increased. We discuss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currency impacts on our results in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As further discussed in Note 1,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 Currency Translation and Highly Inflationary Accounting, </w:t>
      </w:r>
      <w:r>
        <w:rPr>
          <w:rFonts w:ascii="Arial" w:cs="Arial" w:eastAsia="Arial" w:hAnsi="Arial"/>
          <w:sz w:val="18"/>
          <w:szCs w:val="18"/>
          <w:color w:val="auto"/>
        </w:rPr>
        <w:t>during the first quarter of 2022, we concluded that Türkiye</w:t>
      </w:r>
      <w:r>
        <w:rPr>
          <w:rFonts w:ascii="Arial" w:cs="Arial" w:eastAsia="Arial" w:hAnsi="Arial"/>
          <w:sz w:val="18"/>
          <w:szCs w:val="18"/>
          <w:i w:val="1"/>
          <w:iCs w:val="1"/>
          <w:color w:val="auto"/>
        </w:rPr>
        <w:t xml:space="preserve"> </w:t>
      </w:r>
      <w:r>
        <w:rPr>
          <w:rFonts w:ascii="Arial" w:cs="Arial" w:eastAsia="Arial" w:hAnsi="Arial"/>
          <w:sz w:val="18"/>
          <w:szCs w:val="18"/>
          <w:color w:val="auto"/>
        </w:rPr>
        <w:t>became a highly inflationary economy for accounting purposes. As of April 1, 2022, we expect to apply highly inflationary accounting for our subsidiaries operating in Türkiye and change their functional currency from the Turkish lira to the U.S. dollar. Our operations in Türkiye contributed $43 million, or 0.6% of our condensed consolidated net revenues in the three months ended March 31, 2022. Based on a review of our Turkish lira-denominated monetary assets and liabilities, our operations in Türkiye had an immaterial net monetary liability position as of March 31, 2022. We also continue to apply highly inflationary accounting for our Argentinean subsidiaries. During the three months ended March 31, 2022, we recorded a remeasurement loss of $5 million within selling, general and administrative expenses related to the revaluation of our Argentinean peso denominated net monetary position. The mix of monetary assets and liabilities and the exchange rate to convert Turkish lira and Argentinean pesos to U.S. dollars could change over time, so it is difficult to predict the overall impact of the Türkiye and Argentina highly inflationary accounting on future net earnings.</w:t>
      </w:r>
    </w:p>
    <w:p>
      <w:pPr>
        <w:spacing w:after="0" w:line="5" w:lineRule="exact"/>
        <w:rPr>
          <w:rFonts w:ascii="Arial" w:cs="Arial" w:eastAsia="Arial" w:hAnsi="Arial"/>
          <w:sz w:val="20"/>
          <w:szCs w:val="20"/>
          <w:color w:val="auto"/>
        </w:rPr>
      </w:pPr>
    </w:p>
    <w:p>
      <w:pPr>
        <w:ind w:left="660" w:right="160" w:hanging="328"/>
        <w:spacing w:after="0" w:line="244"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18"/>
          <w:szCs w:val="18"/>
          <w:i w:val="1"/>
          <w:iCs w:val="1"/>
          <w:color w:val="auto"/>
        </w:rPr>
        <w:t xml:space="preserve">Gum Portfolio Review. </w:t>
      </w:r>
      <w:r>
        <w:rPr>
          <w:rFonts w:ascii="Arial" w:cs="Arial" w:eastAsia="Arial" w:hAnsi="Arial"/>
          <w:sz w:val="18"/>
          <w:szCs w:val="18"/>
          <w:color w:val="auto"/>
        </w:rPr>
        <w:t>During 2021, we began to conduct a strategic review of our developed market gum business. We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the review and expect to have more information to share in mid-2022.</w:t>
      </w:r>
    </w:p>
    <w:p>
      <w:pPr>
        <w:spacing w:after="0" w:line="1" w:lineRule="exact"/>
        <w:rPr>
          <w:rFonts w:ascii="Arial" w:cs="Arial" w:eastAsia="Arial" w:hAnsi="Arial"/>
          <w:sz w:val="20"/>
          <w:szCs w:val="20"/>
          <w:color w:val="auto"/>
        </w:rPr>
      </w:pPr>
    </w:p>
    <w:p>
      <w:pPr>
        <w:ind w:left="660" w:hanging="328"/>
        <w:spacing w:after="0" w:line="248"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18"/>
          <w:szCs w:val="18"/>
          <w:i w:val="1"/>
          <w:iCs w:val="1"/>
          <w:color w:val="auto"/>
        </w:rPr>
        <w:t xml:space="preserve">U.K. advertising and promotion ban. </w:t>
      </w:r>
      <w:r>
        <w:rPr>
          <w:rFonts w:ascii="Arial" w:cs="Arial" w:eastAsia="Arial" w:hAnsi="Arial"/>
          <w:sz w:val="18"/>
          <w:szCs w:val="18"/>
          <w:color w:val="auto"/>
        </w:rPr>
        <w:t>In the United Kingdom, a ban on specific types of TV and online advertising of food 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levels of fat, sugar or salt above specified thresholds is expected to go into effect in 2023, and new measures restricting certain promotions and in-store placement of some of those products are expected to go into effect in October 2022. Although we are unable to estimate precisely the impact of the restrictions, they could significantly negatively affect our U.K. results of operations in 2022 and thereafter. In the three months ended March 31, 2022, we generated 9.3% of our consolidated net revenues in the U.K.</w:t>
      </w:r>
    </w:p>
    <w:p>
      <w:pPr>
        <w:ind w:left="660" w:right="60" w:hanging="328"/>
        <w:spacing w:after="0" w:line="250" w:lineRule="auto"/>
        <w:tabs>
          <w:tab w:leader="none" w:pos="621" w:val="left"/>
        </w:tabs>
        <w:numPr>
          <w:ilvl w:val="0"/>
          <w:numId w:val="18"/>
        </w:numPr>
        <w:rPr>
          <w:rFonts w:ascii="Arial" w:cs="Arial" w:eastAsia="Arial" w:hAnsi="Arial"/>
          <w:sz w:val="20"/>
          <w:szCs w:val="20"/>
          <w:color w:val="auto"/>
        </w:rPr>
      </w:pPr>
      <w:r>
        <w:rPr>
          <w:rFonts w:ascii="Arial" w:cs="Arial" w:eastAsia="Arial" w:hAnsi="Arial"/>
          <w:sz w:val="18"/>
          <w:szCs w:val="18"/>
          <w:i w:val="1"/>
          <w:iCs w:val="1"/>
          <w:color w:val="auto"/>
        </w:rPr>
        <w:t xml:space="preserve">Cybersecurity Risks. </w:t>
      </w:r>
      <w:r>
        <w:rPr>
          <w:rFonts w:ascii="Arial" w:cs="Arial" w:eastAsia="Arial" w:hAnsi="Arial"/>
          <w:sz w:val="18"/>
          <w:szCs w:val="18"/>
          <w:color w:val="auto"/>
        </w:rPr>
        <w:t>Global cybersecurity risks continue to increase and we continue to be on heightened alert and dedicate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to network security, backup and disaster recovery and to provide ongoing workforce training and employ security measures to protect our systems and data. We also continue to monitor threats in our environment, including but not limited to the manufacturing environment and operational technologies, as well as adjusting information security controls based on updated threats. While we have taken security measures to protect our systems and data, security measures cannot provide absolute certainty or guarantee that we will be successful in preventing or responding to every breach or disruption on a timely basis.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gridSpan w:val="3"/>
          </w:tcPr>
          <w:p>
            <w:pPr>
              <w:jc w:val="center"/>
              <w:ind w:right="351"/>
              <w:spacing w:after="0"/>
              <w:rPr>
                <w:sz w:val="20"/>
                <w:szCs w:val="20"/>
                <w:color w:val="auto"/>
              </w:rPr>
            </w:pPr>
            <w:r>
              <w:rPr>
                <w:rFonts w:ascii="Arial" w:cs="Arial" w:eastAsia="Arial" w:hAnsi="Arial"/>
                <w:sz w:val="14"/>
                <w:szCs w:val="14"/>
                <w:b w:val="1"/>
                <w:bCs w:val="1"/>
                <w:color w:val="auto"/>
              </w:rPr>
              <w:t>For the Three Months Ended</w:t>
            </w:r>
          </w:p>
        </w:tc>
      </w:tr>
      <w:tr>
        <w:trPr>
          <w:trHeight w:val="176"/>
        </w:trPr>
        <w:tc>
          <w:tcPr>
            <w:tcW w:w="5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left="814"/>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5"/>
                <w:szCs w:val="15"/>
                <w:color w:val="auto"/>
              </w:rPr>
            </w:pPr>
          </w:p>
        </w:tc>
      </w:tr>
      <w:tr>
        <w:trPr>
          <w:trHeight w:val="183"/>
        </w:trPr>
        <w:tc>
          <w:tcPr>
            <w:tcW w:w="5520" w:type="dxa"/>
            <w:vAlign w:val="bottom"/>
          </w:tcPr>
          <w:p>
            <w:pPr>
              <w:spacing w:after="0"/>
              <w:rPr>
                <w:sz w:val="15"/>
                <w:szCs w:val="15"/>
                <w:color w:val="auto"/>
              </w:rPr>
            </w:pPr>
          </w:p>
        </w:tc>
        <w:tc>
          <w:tcPr>
            <w:tcW w:w="2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See Note</w:t>
            </w:r>
          </w:p>
        </w:tc>
        <w:tc>
          <w:tcPr>
            <w:tcW w:w="1500" w:type="dxa"/>
            <w:vAlign w:val="bottom"/>
          </w:tcPr>
          <w:p>
            <w:pPr>
              <w:jc w:val="right"/>
              <w:ind w:right="754"/>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360" w:type="dxa"/>
            <w:vAlign w:val="bottom"/>
          </w:tcPr>
          <w:p>
            <w:pPr>
              <w:jc w:val="right"/>
              <w:ind w:right="691"/>
              <w:spacing w:after="0"/>
              <w:rPr>
                <w:sz w:val="20"/>
                <w:szCs w:val="20"/>
                <w:color w:val="auto"/>
              </w:rPr>
            </w:pPr>
            <w:r>
              <w:rPr>
                <w:rFonts w:ascii="Arial" w:cs="Arial" w:eastAsia="Arial" w:hAnsi="Arial"/>
                <w:sz w:val="14"/>
                <w:szCs w:val="14"/>
                <w:b w:val="1"/>
                <w:bCs w:val="1"/>
                <w:color w:val="auto"/>
              </w:rPr>
              <w:t>2021</w:t>
            </w:r>
          </w:p>
        </w:tc>
      </w:tr>
      <w:tr>
        <w:trPr>
          <w:trHeight w:val="183"/>
        </w:trPr>
        <w:tc>
          <w:tcPr>
            <w:tcW w:w="552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gridSpan w:val="3"/>
          </w:tcPr>
          <w:p>
            <w:pPr>
              <w:jc w:val="center"/>
              <w:ind w:right="351"/>
              <w:spacing w:after="0"/>
              <w:rPr>
                <w:sz w:val="20"/>
                <w:szCs w:val="20"/>
                <w:color w:val="auto"/>
              </w:rPr>
            </w:pPr>
            <w:r>
              <w:rPr>
                <w:rFonts w:ascii="Arial" w:cs="Arial" w:eastAsia="Arial" w:hAnsi="Arial"/>
                <w:sz w:val="14"/>
                <w:szCs w:val="14"/>
                <w:b w:val="1"/>
                <w:bCs w:val="1"/>
                <w:color w:val="auto"/>
              </w:rPr>
              <w:t>(in millions, except percentages)</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22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7"/>
              </w:rPr>
              <w:t>Note 7</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(11)</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(88)</w:t>
            </w: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Implementation charges</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Intangible asset impairment charges</w:t>
            </w:r>
          </w:p>
        </w:tc>
        <w:tc>
          <w:tcPr>
            <w:tcW w:w="2280" w:type="dxa"/>
            <w:vAlign w:val="bottom"/>
            <w:gridSpan w:val="3"/>
          </w:tcPr>
          <w:p>
            <w:pPr>
              <w:jc w:val="center"/>
              <w:ind w:right="560"/>
              <w:spacing w:after="0"/>
              <w:rPr>
                <w:sz w:val="20"/>
                <w:szCs w:val="20"/>
                <w:color w:val="auto"/>
              </w:rPr>
            </w:pPr>
            <w:r>
              <w:rPr>
                <w:rFonts w:ascii="Arial" w:cs="Arial" w:eastAsia="Arial" w:hAnsi="Arial"/>
                <w:sz w:val="18"/>
                <w:szCs w:val="18"/>
                <w:color w:val="auto"/>
                <w:w w:val="97"/>
              </w:rPr>
              <w:t>Note 5</w:t>
            </w: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gains/(losses) from derivatives </w:t>
            </w:r>
            <w:r>
              <w:rPr>
                <w:rFonts w:ascii="Arial" w:cs="Arial" w:eastAsia="Arial" w:hAnsi="Arial"/>
                <w:sz w:val="23"/>
                <w:szCs w:val="23"/>
                <w:b w:val="1"/>
                <w:bCs w:val="1"/>
                <w:color w:val="auto"/>
                <w:vertAlign w:val="superscript"/>
              </w:rPr>
              <w:t>(1)</w:t>
            </w:r>
          </w:p>
        </w:tc>
        <w:tc>
          <w:tcPr>
            <w:tcW w:w="22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7"/>
              </w:rPr>
              <w:t>Note 9</w:t>
            </w: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117</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Acquisitions and divestiture-related costs:</w:t>
            </w:r>
          </w:p>
        </w:tc>
        <w:tc>
          <w:tcPr>
            <w:tcW w:w="2280" w:type="dxa"/>
            <w:vAlign w:val="bottom"/>
            <w:gridSpan w:val="3"/>
          </w:tcPr>
          <w:p>
            <w:pPr>
              <w:jc w:val="center"/>
              <w:ind w:right="560"/>
              <w:spacing w:after="0"/>
              <w:rPr>
                <w:sz w:val="20"/>
                <w:szCs w:val="20"/>
                <w:color w:val="auto"/>
              </w:rPr>
            </w:pPr>
            <w:r>
              <w:rPr>
                <w:rFonts w:ascii="Arial" w:cs="Arial" w:eastAsia="Arial" w:hAnsi="Arial"/>
                <w:sz w:val="18"/>
                <w:szCs w:val="18"/>
                <w:color w:val="auto"/>
                <w:w w:val="97"/>
              </w:rPr>
              <w:t>Note 2</w:t>
            </w:r>
          </w:p>
        </w:tc>
        <w:tc>
          <w:tcPr>
            <w:tcW w:w="1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8"/>
        </w:trPr>
        <w:tc>
          <w:tcPr>
            <w:tcW w:w="5520" w:type="dxa"/>
            <w:vAlign w:val="bottom"/>
            <w:shd w:val="clear" w:color="auto" w:fill="CCEEFF"/>
          </w:tcPr>
          <w:p>
            <w:pPr>
              <w:ind w:left="140"/>
              <w:spacing w:after="0" w:line="178" w:lineRule="exact"/>
              <w:rPr>
                <w:sz w:val="20"/>
                <w:szCs w:val="20"/>
                <w:color w:val="auto"/>
              </w:rPr>
            </w:pPr>
            <w:r>
              <w:rPr>
                <w:rFonts w:ascii="Arial" w:cs="Arial" w:eastAsia="Arial" w:hAnsi="Arial"/>
                <w:sz w:val="18"/>
                <w:szCs w:val="18"/>
                <w:color w:val="auto"/>
              </w:rPr>
              <w:t>Acquisition integration costs and</w:t>
            </w: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27"/>
        </w:trPr>
        <w:tc>
          <w:tcPr>
            <w:tcW w:w="5520" w:type="dxa"/>
            <w:vAlign w:val="bottom"/>
            <w:shd w:val="clear" w:color="auto" w:fill="CCEEFF"/>
          </w:tcPr>
          <w:p>
            <w:pPr>
              <w:ind w:left="30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(1)</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Acquisition-related costs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(7)</w:t>
            </w:r>
          </w:p>
        </w:tc>
      </w:tr>
      <w:tr>
        <w:trPr>
          <w:trHeight w:val="230"/>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acquisition</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w:t>
            </w: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Divestiture-related costs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Incremental costs due to war in Ukraine </w:t>
            </w:r>
            <w:r>
              <w:rPr>
                <w:rFonts w:ascii="Arial" w:cs="Arial" w:eastAsia="Arial" w:hAnsi="Arial"/>
                <w:sz w:val="23"/>
                <w:szCs w:val="23"/>
                <w:b w:val="1"/>
                <w:bCs w:val="1"/>
                <w:color w:val="auto"/>
                <w:vertAlign w:val="superscript"/>
              </w:rPr>
              <w:t>(2)</w:t>
            </w:r>
          </w:p>
        </w:tc>
        <w:tc>
          <w:tcPr>
            <w:tcW w:w="22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w w:val="97"/>
              </w:rPr>
              <w:t>Note 1</w:t>
            </w: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(143)</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2280" w:type="dxa"/>
            <w:vAlign w:val="bottom"/>
            <w:gridSpan w:val="3"/>
          </w:tcPr>
          <w:p>
            <w:pPr>
              <w:jc w:val="center"/>
              <w:ind w:right="560"/>
              <w:spacing w:after="0"/>
              <w:rPr>
                <w:sz w:val="20"/>
                <w:szCs w:val="20"/>
                <w:color w:val="auto"/>
              </w:rPr>
            </w:pPr>
            <w:r>
              <w:rPr>
                <w:rFonts w:ascii="Arial" w:cs="Arial" w:eastAsia="Arial" w:hAnsi="Arial"/>
                <w:sz w:val="18"/>
                <w:szCs w:val="18"/>
                <w:color w:val="auto"/>
                <w:w w:val="97"/>
              </w:rPr>
              <w:t>Note 1</w:t>
            </w: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(5)</w:t>
            </w: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22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rPr>
              <w:t>Note 10</w:t>
            </w: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Loss on debt extinguishment and related expenses</w:t>
            </w:r>
          </w:p>
        </w:tc>
        <w:tc>
          <w:tcPr>
            <w:tcW w:w="2280" w:type="dxa"/>
            <w:vAlign w:val="bottom"/>
            <w:gridSpan w:val="3"/>
          </w:tcPr>
          <w:p>
            <w:pPr>
              <w:jc w:val="center"/>
              <w:ind w:right="560"/>
              <w:spacing w:after="0"/>
              <w:rPr>
                <w:sz w:val="20"/>
                <w:szCs w:val="20"/>
                <w:color w:val="auto"/>
              </w:rPr>
            </w:pPr>
            <w:r>
              <w:rPr>
                <w:rFonts w:ascii="Arial" w:cs="Arial" w:eastAsia="Arial" w:hAnsi="Arial"/>
                <w:sz w:val="18"/>
                <w:szCs w:val="18"/>
                <w:color w:val="auto"/>
                <w:w w:val="97"/>
              </w:rPr>
              <w:t>Note 8</w:t>
            </w: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(129)</w:t>
            </w:r>
          </w:p>
        </w:tc>
        <w:tc>
          <w:tcPr>
            <w:tcW w:w="5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(137)</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Initial impacts from enacted tax law changes</w:t>
            </w:r>
          </w:p>
        </w:tc>
        <w:tc>
          <w:tcPr>
            <w:tcW w:w="2280" w:type="dxa"/>
            <w:vAlign w:val="bottom"/>
            <w:gridSpan w:val="3"/>
            <w:shd w:val="clear" w:color="auto" w:fill="CCEEFF"/>
          </w:tcPr>
          <w:p>
            <w:pPr>
              <w:jc w:val="center"/>
              <w:ind w:right="560"/>
              <w:spacing w:after="0"/>
              <w:rPr>
                <w:sz w:val="20"/>
                <w:szCs w:val="20"/>
                <w:color w:val="auto"/>
              </w:rPr>
            </w:pPr>
            <w:r>
              <w:rPr>
                <w:rFonts w:ascii="Arial" w:cs="Arial" w:eastAsia="Arial" w:hAnsi="Arial"/>
                <w:sz w:val="18"/>
                <w:szCs w:val="18"/>
                <w:color w:val="auto"/>
              </w:rPr>
              <w:t>Note 14</w:t>
            </w: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r>
      <w:tr>
        <w:trPr>
          <w:trHeight w:val="229"/>
        </w:trPr>
        <w:tc>
          <w:tcPr>
            <w:tcW w:w="55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Loss on equity method investment transactions </w:t>
            </w:r>
            <w:r>
              <w:rPr>
                <w:rFonts w:ascii="Arial" w:cs="Arial" w:eastAsia="Arial" w:hAnsi="Arial"/>
                <w:sz w:val="23"/>
                <w:szCs w:val="23"/>
                <w:b w:val="1"/>
                <w:bCs w:val="1"/>
                <w:color w:val="auto"/>
                <w:vertAlign w:val="superscript"/>
              </w:rPr>
              <w:t>(3)</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(7)</w:t>
            </w: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(4)</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w:t>
            </w:r>
          </w:p>
        </w:tc>
      </w:tr>
      <w:tr>
        <w:trPr>
          <w:trHeight w:val="23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2280" w:type="dxa"/>
            <w:vAlign w:val="bottom"/>
            <w:gridSpan w:val="3"/>
          </w:tcPr>
          <w:p>
            <w:pPr>
              <w:jc w:val="center"/>
              <w:ind w:right="560"/>
              <w:spacing w:after="0"/>
              <w:rPr>
                <w:sz w:val="20"/>
                <w:szCs w:val="20"/>
                <w:color w:val="auto"/>
              </w:rPr>
            </w:pPr>
            <w:r>
              <w:rPr>
                <w:rFonts w:ascii="Arial" w:cs="Arial" w:eastAsia="Arial" w:hAnsi="Arial"/>
                <w:sz w:val="18"/>
                <w:szCs w:val="18"/>
                <w:color w:val="auto"/>
              </w:rPr>
              <w:t>Note 14</w:t>
            </w:r>
          </w:p>
        </w:tc>
        <w:tc>
          <w:tcPr>
            <w:tcW w:w="1500" w:type="dxa"/>
            <w:vAlign w:val="bottom"/>
          </w:tcPr>
          <w:p>
            <w:pPr>
              <w:jc w:val="right"/>
              <w:spacing w:after="0"/>
              <w:rPr>
                <w:sz w:val="20"/>
                <w:szCs w:val="20"/>
                <w:color w:val="auto"/>
              </w:rPr>
            </w:pPr>
            <w:r>
              <w:rPr>
                <w:rFonts w:ascii="Arial" w:cs="Arial" w:eastAsia="Arial" w:hAnsi="Arial"/>
                <w:sz w:val="18"/>
                <w:szCs w:val="18"/>
                <w:color w:val="auto"/>
              </w:rPr>
              <w:t>21.9 %</w:t>
            </w:r>
          </w:p>
        </w:tc>
        <w:tc>
          <w:tcPr>
            <w:tcW w:w="5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19.1 %</w:t>
            </w:r>
          </w:p>
        </w:tc>
      </w:tr>
    </w:tbl>
    <w:p>
      <w:pPr>
        <w:spacing w:after="0" w:line="252" w:lineRule="exact"/>
        <w:rPr>
          <w:sz w:val="20"/>
          <w:szCs w:val="20"/>
          <w:color w:val="auto"/>
        </w:rPr>
      </w:pPr>
    </w:p>
    <w:p>
      <w:pPr>
        <w:ind w:left="340" w:right="2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and interest expense and other, net. Mark-to-market gains/(losses) above also include our equity method investment-related derivative contract mark-to-market gains/(losses) (refer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that are recorded in the gain on equity method investment transactions on our condensed consolidated statement of earnings.</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Incremental costs due to the war in Ukraine include direct charges such as asset impairments due to damaged facilities and inventory, higher expected allowances for uncollectible accounts receivable and committed compensation.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and Note 1, </w:t>
      </w:r>
      <w:r>
        <w:rPr>
          <w:rFonts w:ascii="Arial" w:cs="Arial" w:eastAsia="Arial" w:hAnsi="Arial"/>
          <w:sz w:val="14"/>
          <w:szCs w:val="14"/>
          <w:i w:val="1"/>
          <w:iCs w:val="1"/>
          <w:color w:val="auto"/>
        </w:rPr>
        <w:t>Basis of</w:t>
      </w:r>
      <w:r>
        <w:rPr>
          <w:rFonts w:ascii="Arial" w:cs="Arial" w:eastAsia="Arial" w:hAnsi="Arial"/>
          <w:sz w:val="14"/>
          <w:szCs w:val="14"/>
          <w:color w:val="auto"/>
        </w:rPr>
        <w:t xml:space="preserve"> </w:t>
      </w:r>
      <w:r>
        <w:rPr>
          <w:rFonts w:ascii="Arial" w:cs="Arial" w:eastAsia="Arial" w:hAnsi="Arial"/>
          <w:sz w:val="14"/>
          <w:szCs w:val="14"/>
          <w:i w:val="1"/>
          <w:iCs w:val="1"/>
          <w:color w:val="auto"/>
        </w:rPr>
        <w:t>Presentation – War in Ukraine</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jc w:val="both"/>
        <w:ind w:left="340" w:right="320" w:hanging="332"/>
        <w:spacing w:after="0" w:line="24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Loss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spacing w:after="0" w:line="1" w:lineRule="exact"/>
        <w:rPr>
          <w:rFonts w:ascii="Arial" w:cs="Arial" w:eastAsia="Arial" w:hAnsi="Arial"/>
          <w:sz w:val="14"/>
          <w:szCs w:val="14"/>
          <w:color w:val="auto"/>
        </w:rPr>
      </w:pPr>
    </w:p>
    <w:p>
      <w:pPr>
        <w:ind w:left="340" w:right="120" w:hanging="332"/>
        <w:spacing w:after="0" w:line="258"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7,764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1,094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1,283</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188"/>
        </w:trPr>
        <w:tc>
          <w:tcPr>
            <w:tcW w:w="508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7"/>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188"/>
        </w:trPr>
        <w:tc>
          <w:tcPr>
            <w:tcW w:w="5080" w:type="dxa"/>
            <w:vAlign w:val="bottom"/>
          </w:tcPr>
          <w:p>
            <w:pPr>
              <w:ind w:left="56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0.61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$526 million (7.3%) to $7,764 million in the first quarter of 2022, and Organic Net Revenue</w:t>
      </w:r>
    </w:p>
    <w:p>
      <w:pPr>
        <w:spacing w:after="0" w:line="27" w:lineRule="exact"/>
        <w:rPr>
          <w:sz w:val="20"/>
          <w:szCs w:val="20"/>
          <w:color w:val="auto"/>
        </w:rPr>
      </w:pPr>
    </w:p>
    <w:p>
      <w:pPr>
        <w:ind w:right="340" w:firstLine="8"/>
        <w:spacing w:after="0" w:line="250" w:lineRule="auto"/>
        <w:tabs>
          <w:tab w:leader="none" w:pos="178" w:val="left"/>
        </w:tabs>
        <w:numPr>
          <w:ilvl w:val="0"/>
          <w:numId w:val="20"/>
        </w:numPr>
        <w:rPr>
          <w:rFonts w:ascii="Arial" w:cs="Arial" w:eastAsia="Arial" w:hAnsi="Arial"/>
          <w:sz w:val="11"/>
          <w:szCs w:val="11"/>
          <w:color w:val="auto"/>
        </w:rPr>
      </w:pPr>
      <w:r>
        <w:rPr>
          <w:rFonts w:ascii="Arial" w:cs="Arial" w:eastAsia="Arial" w:hAnsi="Arial"/>
          <w:sz w:val="18"/>
          <w:szCs w:val="18"/>
          <w:color w:val="auto"/>
        </w:rPr>
        <w:t xml:space="preserve">increased $619 million (8.6%) to $7,857 million. Developed markets net revenues increased 2.7% and developed markets Organic Net Revenue increased 4.2% </w:t>
      </w:r>
      <w:r>
        <w:rPr>
          <w:rFonts w:ascii="Arial" w:cs="Arial" w:eastAsia="Arial" w:hAnsi="Arial"/>
          <w:sz w:val="10"/>
          <w:szCs w:val="10"/>
          <w:color w:val="auto"/>
        </w:rPr>
        <w:t>(1)</w:t>
      </w:r>
      <w:r>
        <w:rPr>
          <w:rFonts w:ascii="Arial" w:cs="Arial" w:eastAsia="Arial" w:hAnsi="Arial"/>
          <w:sz w:val="18"/>
          <w:szCs w:val="18"/>
          <w:color w:val="auto"/>
        </w:rPr>
        <w:t>. Emerging markets net revenues increased 15.6% and emerging markets Organic Net Revenue increased</w:t>
      </w:r>
    </w:p>
    <w:p>
      <w:pPr>
        <w:spacing w:after="0"/>
        <w:rPr>
          <w:rFonts w:ascii="Arial" w:cs="Arial" w:eastAsia="Arial" w:hAnsi="Arial"/>
          <w:sz w:val="11"/>
          <w:szCs w:val="11"/>
          <w:color w:val="auto"/>
        </w:rPr>
      </w:pPr>
      <w:r>
        <w:rPr>
          <w:rFonts w:ascii="Arial" w:cs="Arial" w:eastAsia="Arial" w:hAnsi="Arial"/>
          <w:sz w:val="18"/>
          <w:szCs w:val="18"/>
          <w:color w:val="auto"/>
        </w:rPr>
        <w:t xml:space="preserve">16.5%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r>
      <w:tr>
        <w:trPr>
          <w:trHeight w:val="20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7.3 %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Remove the following items affecting comparability:</w:t>
            </w:r>
          </w:p>
        </w:tc>
        <w:tc>
          <w:tcPr>
            <w:tcW w:w="1620" w:type="dxa"/>
            <w:vAlign w:val="bottom"/>
            <w:shd w:val="clear" w:color="auto" w:fill="CCEEFF"/>
          </w:tcPr>
          <w:p>
            <w:pPr>
              <w:spacing w:after="0"/>
              <w:rPr>
                <w:sz w:val="19"/>
                <w:szCs w:val="19"/>
                <w:color w:val="auto"/>
              </w:rPr>
            </w:pPr>
          </w:p>
        </w:tc>
      </w:tr>
      <w:tr>
        <w:trPr>
          <w:trHeight w:val="229"/>
        </w:trPr>
        <w:tc>
          <w:tcPr>
            <w:tcW w:w="9600" w:type="dxa"/>
            <w:vAlign w:val="bottom"/>
          </w:tcPr>
          <w:p>
            <w:pPr>
              <w:ind w:left="680"/>
              <w:spacing w:after="0"/>
              <w:rPr>
                <w:sz w:val="20"/>
                <w:szCs w:val="20"/>
                <w:color w:val="auto"/>
              </w:rPr>
            </w:pPr>
            <w:r>
              <w:rPr>
                <w:rFonts w:ascii="Arial" w:cs="Arial" w:eastAsia="Arial" w:hAnsi="Arial"/>
                <w:sz w:val="18"/>
                <w:szCs w:val="18"/>
                <w:color w:val="auto"/>
              </w:rPr>
              <w:t>Unfavorable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4.1 pp</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(2.8)pp</w:t>
            </w:r>
          </w:p>
        </w:tc>
      </w:tr>
      <w:tr>
        <w:trPr>
          <w:trHeight w:val="223"/>
        </w:trPr>
        <w:tc>
          <w:tcPr>
            <w:tcW w:w="9600" w:type="dxa"/>
            <w:vAlign w:val="bottom"/>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8.6 %</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pp</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tcPr>
          <w:p>
            <w:pPr>
              <w:jc w:val="right"/>
              <w:spacing w:after="0"/>
              <w:rPr>
                <w:sz w:val="20"/>
                <w:szCs w:val="20"/>
                <w:color w:val="auto"/>
              </w:rPr>
            </w:pPr>
            <w:r>
              <w:rPr>
                <w:rFonts w:ascii="Arial" w:cs="Arial" w:eastAsia="Arial" w:hAnsi="Arial"/>
                <w:sz w:val="18"/>
                <w:szCs w:val="18"/>
                <w:color w:val="auto"/>
              </w:rPr>
              <w:t>3.8 pp</w:t>
            </w: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Net revenue increase of 7.3% was driven by our underlying Organic Net Revenue growth of 8.6% and the impact of acquisitions, partially offset by unfavorable currency translation. Overall, we continued to see increased demand for our snack category products, though some markets are still challenged due to the pandemic. Organic Net Revenue growth was driven by higher net pricing and favorable volume/mix. Higher net pricing in all regions was due to the benefit of carryover pricing from 2021 as well as the effects of input cost-driven pricing actions taken during the first three months of 2022. Favorable volume/mix across all regions was driven primarily by strong volume gains primarily across our snack category products. The January 3, 2022 acquisition of Chipita added incremental net revenues of $169 million (constant currency basis), the April 1, 2021 acquisition of Gourmet Food added incremental net revenues of $15 million (constant currency basis) and the March 25, 2021 acquisition of Grenade added incremental net revenues of $22 million (constant currency basis). Refer to Note 2, </w:t>
      </w: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for additional information. Unfavorable currency impacts decreased net revenues by $299 million, due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strength of the U.S. dollar relative to several currencies, including the euro, Turkish lira, Russian ruble, Argentinean peso, British pound sterling and Australian dollar, partially offset by the strength of several currencies relative to the U.S. dollar, including the Brazilian real and Chinese yuan.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$189 million (14.7%) to $1,094 million in the first quarter of 2022.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$86 million (6.7%) to $ 1,378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$175 million (13.5%) to $1,467 million due to the following:</w:t>
      </w:r>
    </w:p>
    <w:p>
      <w:pPr>
        <w:spacing w:after="0" w:line="92"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Operating</w:t>
      </w:r>
    </w:p>
    <w:p>
      <w:pPr>
        <w:ind w:left="8560"/>
        <w:spacing w:after="0"/>
        <w:tabs>
          <w:tab w:leader="none" w:pos="10060" w:val="left"/>
        </w:tabs>
        <w:rPr>
          <w:sz w:val="20"/>
          <w:szCs w:val="20"/>
          <w:color w:val="auto"/>
        </w:rPr>
      </w:pP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6350</wp:posOffset>
            </wp:positionV>
            <wp:extent cx="19805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4"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p>
      <w:pPr>
        <w:spacing w:after="0" w:line="29"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Arial" w:cs="Arial" w:eastAsia="Arial" w:hAnsi="Arial"/>
                <w:sz w:val="18"/>
                <w:szCs w:val="18"/>
                <w:b w:val="1"/>
                <w:bCs w:val="1"/>
                <w:color w:val="auto"/>
              </w:rPr>
              <w:t>Operating Income for the Three Months Ended March 31, 2021</w:t>
            </w: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4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7420" w:type="dxa"/>
            <w:vAlign w:val="bottom"/>
          </w:tcPr>
          <w:p>
            <w:pPr>
              <w:ind w:left="140"/>
              <w:spacing w:after="0" w:line="228"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5"/>
        </w:trPr>
        <w:tc>
          <w:tcPr>
            <w:tcW w:w="7420" w:type="dxa"/>
            <w:vAlign w:val="bottom"/>
          </w:tcPr>
          <w:p>
            <w:pPr>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1,292</w:t>
            </w:r>
          </w:p>
        </w:tc>
        <w:tc>
          <w:tcPr>
            <w:tcW w:w="0" w:type="dxa"/>
            <w:vAlign w:val="bottom"/>
          </w:tcPr>
          <w:p>
            <w:pPr>
              <w:spacing w:after="0"/>
              <w:rPr>
                <w:sz w:val="1"/>
                <w:szCs w:val="1"/>
                <w:color w:val="auto"/>
              </w:rPr>
            </w:pPr>
          </w:p>
        </w:tc>
      </w:tr>
      <w:tr>
        <w:trPr>
          <w:trHeight w:val="239"/>
        </w:trPr>
        <w:tc>
          <w:tcPr>
            <w:tcW w:w="7420" w:type="dxa"/>
            <w:vAlign w:val="bottom"/>
          </w:tcPr>
          <w:p>
            <w:pPr>
              <w:ind w:left="140"/>
              <w:spacing w:after="0"/>
              <w:rPr>
                <w:sz w:val="20"/>
                <w:szCs w:val="20"/>
                <w:color w:val="auto"/>
              </w:rPr>
            </w:pPr>
            <w:r>
              <w:rPr>
                <w:rFonts w:ascii="Arial" w:cs="Arial" w:eastAsia="Arial" w:hAnsi="Arial"/>
                <w:sz w:val="18"/>
                <w:szCs w:val="18"/>
                <w:b w:val="1"/>
                <w:bCs w:val="1"/>
                <w:color w:val="auto"/>
              </w:rPr>
              <w:t>Three Months Ended March 31, 2021</w:t>
            </w:r>
          </w:p>
        </w:tc>
        <w:tc>
          <w:tcPr>
            <w:tcW w:w="5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420" w:type="dxa"/>
            <w:vAlign w:val="bottom"/>
          </w:tcPr>
          <w:p>
            <w:pPr>
              <w:ind w:left="140"/>
              <w:spacing w:after="0"/>
              <w:rPr>
                <w:sz w:val="20"/>
                <w:szCs w:val="20"/>
                <w:color w:val="auto"/>
              </w:rPr>
            </w:pPr>
            <w:r>
              <w:rPr>
                <w:rFonts w:ascii="Arial" w:cs="Arial" w:eastAsia="Arial" w:hAnsi="Arial"/>
                <w:sz w:val="18"/>
                <w:szCs w:val="18"/>
                <w:color w:val="auto"/>
              </w:rPr>
              <w:t>Higher net pricing</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Higher input costs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7420" w:type="dxa"/>
            <w:vAlign w:val="bottom"/>
          </w:tcPr>
          <w:p>
            <w:pPr>
              <w:ind w:left="160"/>
              <w:spacing w:after="0"/>
              <w:rPr>
                <w:sz w:val="20"/>
                <w:szCs w:val="20"/>
                <w:color w:val="auto"/>
              </w:rPr>
            </w:pPr>
            <w:r>
              <w:rPr>
                <w:rFonts w:ascii="Arial" w:cs="Arial" w:eastAsia="Arial" w:hAnsi="Arial"/>
                <w:sz w:val="18"/>
                <w:szCs w:val="18"/>
                <w:color w:val="auto"/>
              </w:rPr>
              <w:t>Favorable volume/mix</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Higher selling, general and administrative expenses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Lower amortization of intangible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2"/>
        </w:trPr>
        <w:tc>
          <w:tcPr>
            <w:tcW w:w="7420" w:type="dxa"/>
            <w:vAlign w:val="bottom"/>
          </w:tcPr>
          <w:p>
            <w:pPr>
              <w:ind w:left="140"/>
              <w:spacing w:after="0" w:line="24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(4)</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7420" w:type="dxa"/>
            <w:vAlign w:val="bottom"/>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7420" w:type="dxa"/>
            <w:vAlign w:val="bottom"/>
          </w:tcPr>
          <w:p>
            <w:pPr>
              <w:spacing w:after="0" w:line="235"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17"/>
        </w:trPr>
        <w:tc>
          <w:tcPr>
            <w:tcW w:w="7420" w:type="dxa"/>
            <w:vAlign w:val="bottom"/>
          </w:tcPr>
          <w:p>
            <w:pPr>
              <w:ind w:left="120"/>
              <w:spacing w:after="0"/>
              <w:rPr>
                <w:sz w:val="20"/>
                <w:szCs w:val="20"/>
                <w:color w:val="auto"/>
              </w:rPr>
            </w:pPr>
            <w:r>
              <w:rPr>
                <w:rFonts w:ascii="Arial" w:cs="Arial" w:eastAsia="Arial" w:hAnsi="Arial"/>
                <w:sz w:val="18"/>
                <w:szCs w:val="18"/>
                <w:color w:val="auto"/>
              </w:rPr>
              <w:t>Unfavorable currency translation</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7420" w:type="dxa"/>
            <w:vAlign w:val="bottom"/>
          </w:tcPr>
          <w:p>
            <w:pPr>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155"/>
        </w:trPr>
        <w:tc>
          <w:tcPr>
            <w:tcW w:w="7420" w:type="dxa"/>
            <w:vAlign w:val="bottom"/>
          </w:tcPr>
          <w:p>
            <w:pPr>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1,378</w:t>
            </w:r>
          </w:p>
        </w:tc>
        <w:tc>
          <w:tcPr>
            <w:tcW w:w="0" w:type="dxa"/>
            <w:vAlign w:val="bottom"/>
          </w:tcPr>
          <w:p>
            <w:pPr>
              <w:spacing w:after="0"/>
              <w:rPr>
                <w:sz w:val="1"/>
                <w:szCs w:val="1"/>
                <w:color w:val="auto"/>
              </w:rPr>
            </w:pPr>
          </w:p>
        </w:tc>
      </w:tr>
      <w:tr>
        <w:trPr>
          <w:trHeight w:val="232"/>
        </w:trPr>
        <w:tc>
          <w:tcPr>
            <w:tcW w:w="7420" w:type="dxa"/>
            <w:vAlign w:val="bottom"/>
          </w:tcPr>
          <w:p>
            <w:pPr>
              <w:ind w:left="140"/>
              <w:spacing w:after="0"/>
              <w:rPr>
                <w:sz w:val="20"/>
                <w:szCs w:val="20"/>
                <w:color w:val="auto"/>
              </w:rPr>
            </w:pPr>
            <w:r>
              <w:rPr>
                <w:rFonts w:ascii="Arial" w:cs="Arial" w:eastAsia="Arial" w:hAnsi="Arial"/>
                <w:sz w:val="18"/>
                <w:szCs w:val="18"/>
                <w:b w:val="1"/>
                <w:bCs w:val="1"/>
                <w:color w:val="auto"/>
              </w:rPr>
              <w:t>Three Months Ended March 31, 2022</w:t>
            </w:r>
          </w:p>
        </w:tc>
        <w:tc>
          <w:tcPr>
            <w:tcW w:w="5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(7)</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Acquisition integration costs and contingent consideration adjustments </w:t>
            </w:r>
            <w:r>
              <w:rPr>
                <w:rFonts w:ascii="Arial" w:cs="Arial" w:eastAsia="Arial" w:hAnsi="Arial"/>
                <w:sz w:val="23"/>
                <w:szCs w:val="23"/>
                <w:color w:val="auto"/>
                <w:vertAlign w:val="superscript"/>
              </w:rPr>
              <w:t>(4)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42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(5)</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7"/>
        </w:trPr>
        <w:tc>
          <w:tcPr>
            <w:tcW w:w="7420" w:type="dxa"/>
            <w:vAlign w:val="bottom"/>
          </w:tcPr>
          <w:p>
            <w:pPr>
              <w:ind w:left="160"/>
              <w:spacing w:after="0" w:line="228"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b w:val="1"/>
                <w:bCs w:val="1"/>
                <w:color w:val="auto"/>
              </w:rPr>
              <w:t>Operating Income for the Three Months Ended March 31, 2022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-4217035</wp:posOffset>
            </wp:positionV>
            <wp:extent cx="71151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711517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711517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15175"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-2939415</wp:posOffset>
            </wp:positionV>
            <wp:extent cx="711517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711517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711517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-2065655</wp:posOffset>
            </wp:positionV>
            <wp:extent cx="711517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1517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-1353820</wp:posOffset>
            </wp:positionV>
            <wp:extent cx="711517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1517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15175"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1517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151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5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13.5 %</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(14.7)%</w:t>
      </w:r>
    </w:p>
    <w:p>
      <w:pPr>
        <w:spacing w:after="0" w:line="468" w:lineRule="exact"/>
        <w:rPr>
          <w:sz w:val="20"/>
          <w:szCs w:val="20"/>
          <w:color w:val="auto"/>
        </w:rPr>
      </w:pPr>
    </w:p>
    <w:p>
      <w:pPr>
        <w:sectPr>
          <w:pgSz w:w="11900" w:h="16838" w:orient="portrait"/>
          <w:cols w:equalWidth="0" w:num="2">
            <w:col w:w="9840" w:space="720"/>
            <w:col w:w="640"/>
          </w:cols>
          <w:pgMar w:left="320" w:top="382" w:right="379" w:bottom="1440" w:gutter="0" w:footer="0" w:header="0"/>
          <w:type w:val="continuous"/>
        </w:sectPr>
      </w:pPr>
    </w:p>
    <w:p>
      <w:pPr>
        <w:ind w:left="340" w:right="440" w:hanging="332"/>
        <w:spacing w:after="0" w:line="24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right="160" w:hanging="332"/>
        <w:spacing w:after="0" w:line="24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January 3, 2022 acquisition of Chipita, the April 1, 2021 acquisition of Gourmet Food Holdings Pty Ltd, the March 25, 2021 acquisition of a majority interest in Grenade and the January 4, 2021 acquisition of the remaining 93% of equity in Hu Master Holdings.</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the first quarter of 2022, we realized higher net pricing and favorable volume/mix, which was partially offset by increased input costs. Higher net pricing, which included the carryover impact of pricing actions taken in 2021 as well as the effects of input cost-driven pricing actions taken during the first three months of 2022, was reflected across all regions. Favorable volume/mix was driven by Europe, Latin America and AMEA, partially offset by unfavorable volume/mix in North America. Overall volume/mix benefited from strong volume growth due to continued increased demand for our snack category products. The increase in input costs was driven by higher raw material costs, partially offset by lower manufacturing costs driven by productivity. Higher raw material costs were in part due to higher packaging, edible oils, dairy, energy, grains, sugar and other ingredient costs, partially offset by favorable year-over-year currency exchange transaction costs on imported materials and lower cocoa costs.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selling, general and administrative expenses increased $129 million from the first quarter of 2021, due to a number of factors noted in the table above, including in part, the impact of acquisitions, higher acquisition integration costs, incremental costs incurred due to the war in Ukraine and higher acquisition-related costs, which were partially offset by a favorable currency impact related to expenses and lower implementation costs incurred for the Simplify to Grow Program. Excluding these factors, selling, general and administrative expenses increased $77 million from the first quarter of 2021. The increase was driven primarily by higher advertising and consumer promotion costs and higher overhead costs reflecting increased investments in route-to-market capabilities.</w:t>
      </w:r>
    </w:p>
    <w:p>
      <w:pPr>
        <w:spacing w:after="0" w:line="23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Unfavorable currency changes decreased operating income by $ 89 million due primarily to the strength of the U.S. dollar relative to most currencies, including the Russian ruble, euro, Argentinean peso, British pound sterling, Turkish lira and Australian dollar, partially offset by the strength of a few currencies relative to the U.S. dollar, including the Brazilian real and Chinese yuan.</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income margin decreased from 17.7% in the first quarter of 2021 to 14.1% in the first quarter of 2022. The decrease was driven primarily by incremental costs incurred due to the war in Ukraine, unfavorable year-over-year change in mark-to-market gains/(losses) from currency and commodity hedging activities, intangible asset impairment charges incurred in 2022, higher acquisition integration costs, lower Adjusted Operating Income margin, higher acquisition-related costs and lapping a prior-year gain on acquisition, partially offset by lower Simplify to Grow program costs. Adjusted Operating Income margin decreased from 17.9% for the first quarter of 2021 to 17.7% for the first quarter of 2022. The decrease was driven primarily by higher raw material costs and unfavorable product mix, partially offset by higher net pricing and overhead cost leverage.</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line="231"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$ 855</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$ 106 million (11.0%) in the first quarter of 2022. Diluted EPS attributable to Mondelēz International was $0.61 in the first quarter of 2022, down $0.07 (10.3%) from the first quarter of 2021.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$0.84 in the first quarter of 2022, up $0.05</w:t>
      </w:r>
    </w:p>
    <w:p>
      <w:pPr>
        <w:spacing w:after="0" w:line="3"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 xml:space="preserve">(6.3%) from the first quarter of 2021.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$0.90 in the first quarter of 2022, up $0.11 (13.9%) from the first quarter of 2021.</w:t>
      </w:r>
    </w:p>
    <w:p>
      <w:pPr>
        <w:sectPr>
          <w:pgSz w:w="11900" w:h="16838" w:orient="portrait"/>
          <w:cols w:equalWidth="0" w:num="1">
            <w:col w:w="11220"/>
          </w:cols>
          <w:pgMar w:left="320" w:top="382" w:right="359" w:bottom="1440" w:gutter="0" w:footer="0" w:header="0"/>
        </w:sectPr>
      </w:pPr>
    </w:p>
    <w:p>
      <w:pPr>
        <w:spacing w:after="0" w:line="35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Three Months Ended March 31, 2021</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Loss on debt extinguishment and related expenses </w:t>
      </w:r>
      <w:r>
        <w:rPr>
          <w:rFonts w:ascii="Arial" w:cs="Arial" w:eastAsia="Arial" w:hAnsi="Arial"/>
          <w:sz w:val="21"/>
          <w:szCs w:val="21"/>
          <w:color w:val="auto"/>
          <w:vertAlign w:val="superscript"/>
        </w:rPr>
        <w:t>(4)</w:t>
      </w:r>
    </w:p>
    <w:p>
      <w:pPr>
        <w:ind w:left="800"/>
        <w:spacing w:after="0" w:line="214"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Changes in benefit plan non-service income</w:t>
      </w:r>
    </w:p>
    <w:p>
      <w:pPr>
        <w:ind w:left="800"/>
        <w:spacing w:after="0" w:line="230" w:lineRule="auto"/>
        <w:rPr>
          <w:sz w:val="20"/>
          <w:szCs w:val="20"/>
          <w:color w:val="auto"/>
        </w:rPr>
      </w:pPr>
      <w:r>
        <w:rPr>
          <w:rFonts w:ascii="Arial" w:cs="Arial" w:eastAsia="Arial" w:hAnsi="Arial"/>
          <w:sz w:val="16"/>
          <w:szCs w:val="16"/>
          <w:color w:val="auto"/>
        </w:rPr>
        <w:t xml:space="preserve">Changes in interest and other expense, net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(7)</w:t>
      </w:r>
    </w:p>
    <w:p>
      <w:pPr>
        <w:ind w:left="800"/>
        <w:spacing w:after="0" w:line="214"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1517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Unfavorable currency translation</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2022</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9"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30" w:lineRule="auto"/>
        <w:rPr>
          <w:sz w:val="20"/>
          <w:szCs w:val="20"/>
          <w:color w:val="auto"/>
        </w:rPr>
      </w:pPr>
      <w:r>
        <w:rPr>
          <w:rFonts w:ascii="Arial" w:cs="Arial" w:eastAsia="Arial" w:hAnsi="Arial"/>
          <w:sz w:val="16"/>
          <w:szCs w:val="16"/>
          <w:color w:val="auto"/>
        </w:rPr>
        <w:t xml:space="preserve">Acquisition integration costs and contingent consideration adjustments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1517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199"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Incremental costs due to war in Ukraine </w:t>
      </w:r>
      <w:r>
        <w:rPr>
          <w:rFonts w:ascii="Arial" w:cs="Arial" w:eastAsia="Arial" w:hAnsi="Arial"/>
          <w:sz w:val="21"/>
          <w:szCs w:val="21"/>
          <w:color w:val="auto"/>
          <w:vertAlign w:val="superscript"/>
        </w:rPr>
        <w:t>(2)</w:t>
      </w:r>
    </w:p>
    <w:p>
      <w:pPr>
        <w:ind w:left="800"/>
        <w:spacing w:after="0" w:line="230" w:lineRule="auto"/>
        <w:rPr>
          <w:sz w:val="20"/>
          <w:szCs w:val="20"/>
          <w:color w:val="auto"/>
        </w:rPr>
      </w:pPr>
      <w:r>
        <w:rPr>
          <w:rFonts w:ascii="Arial" w:cs="Arial" w:eastAsia="Arial" w:hAnsi="Arial"/>
          <w:sz w:val="16"/>
          <w:szCs w:val="16"/>
          <w:color w:val="auto"/>
        </w:rPr>
        <w:t xml:space="preserve">Loss on debt extinguishment and related expenses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line="212" w:lineRule="auto"/>
        <w:rPr>
          <w:sz w:val="20"/>
          <w:szCs w:val="20"/>
          <w:color w:val="auto"/>
        </w:rPr>
      </w:pPr>
      <w:r>
        <w:rPr>
          <w:rFonts w:ascii="Arial" w:cs="Arial" w:eastAsia="Arial" w:hAnsi="Arial"/>
          <w:sz w:val="16"/>
          <w:szCs w:val="16"/>
          <w:b w:val="1"/>
          <w:bCs w:val="1"/>
          <w:color w:val="auto"/>
        </w:rPr>
        <w:t>Diluted EPS Attributable to Mondelēz International for the</w:t>
      </w:r>
    </w:p>
    <w:p>
      <w:pPr>
        <w:ind w:left="800"/>
        <w:spacing w:after="0"/>
        <w:rPr>
          <w:sz w:val="20"/>
          <w:szCs w:val="20"/>
          <w:color w:val="auto"/>
        </w:rPr>
      </w:pPr>
      <w:r>
        <w:rPr>
          <w:rFonts w:ascii="Arial" w:cs="Arial" w:eastAsia="Arial" w:hAnsi="Arial"/>
          <w:sz w:val="16"/>
          <w:szCs w:val="16"/>
          <w:b w:val="1"/>
          <w:bCs w:val="1"/>
          <w:color w:val="auto"/>
        </w:rPr>
        <w:t>Three Months Ended March 31, 2022</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917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19" w:lineRule="exact"/>
        <w:rPr>
          <w:sz w:val="20"/>
          <w:szCs w:val="20"/>
          <w:color w:val="auto"/>
        </w:rPr>
      </w:pPr>
    </w:p>
    <w:p>
      <w:pPr>
        <w:ind w:left="1040" w:hanging="1034"/>
        <w:spacing w:after="0"/>
        <w:tabs>
          <w:tab w:leader="none" w:pos="104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0.68</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0.79</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0.09</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0.03</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0.90</w:t>
      </w:r>
    </w:p>
    <w:p>
      <w:pPr>
        <w:spacing w:after="0" w:line="5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0.84</w:t>
      </w:r>
    </w:p>
    <w:p>
      <w:pPr>
        <w:spacing w:after="0" w:line="5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(0.11)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27" w:lineRule="exact"/>
        <w:rPr>
          <w:sz w:val="20"/>
          <w:szCs w:val="20"/>
          <w:color w:val="auto"/>
        </w:rPr>
      </w:pPr>
    </w:p>
    <w:p>
      <w:pPr>
        <w:ind w:left="1040" w:hanging="1034"/>
        <w:spacing w:after="0"/>
        <w:tabs>
          <w:tab w:leader="none" w:pos="10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17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wp:posOffset>
            </wp:positionV>
            <wp:extent cx="917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9060" w:space="720"/>
            <w:col w:w="1440"/>
          </w:cols>
          <w:pgMar w:left="320" w:top="382" w:right="359" w:bottom="1440" w:gutter="0" w:footer="0" w:header="0"/>
          <w:type w:val="continuous"/>
        </w:sect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the impact from 2021 partial sales of our equity method investment in KDP as if the sales occurred at the beginning of all periods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80" w:hanging="332"/>
        <w:spacing w:after="0" w:line="258" w:lineRule="auto"/>
        <w:tabs>
          <w:tab w:leader="none" w:pos="327"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2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183"/>
        </w:trPr>
        <w:tc>
          <w:tcPr>
            <w:tcW w:w="7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Europe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2"/>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AMEA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188"/>
        </w:trPr>
        <w:tc>
          <w:tcPr>
            <w:tcW w:w="75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7"/>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1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6"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For the Three Months Ended</w:t>
      </w:r>
    </w:p>
    <w:p>
      <w:pPr>
        <w:jc w:val="center"/>
        <w:ind w:left="18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9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35.5 %</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Net revenues increased $ 157 million (23.5%), due to higher net pricing (17.0 pp) and favorable volume/mix (8.7 pp), partially offset by unfavorable currency (2.2 pp). Higher net pricing was reflected across all categories, driven primarily by Argentina, Brazil and Mexico. Favorable volume/mix reflected strong volume growth as the region continued to see increased demand for our snack category products. Favorable volume/mix was driven by gains in chocolate, biscuits, gum and candy, partially offset by declines in refreshment beverages and cheese &amp; grocery. Unfavorable currency impacts were due primarily to the strength of the U.S. dollar relative to most currencies in the region, primarily the Argentinean peso, partially offset by the strength of a few currencies relative to the U.S. dollar, primarily the Brazilian real.</w:t>
      </w:r>
    </w:p>
    <w:p>
      <w:pPr>
        <w:spacing w:after="0" w:line="2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Segment operating income increased $27 million (35.5%), primarily due to higher net pricing, favorable volume/mix, lower manufacturing costs due to productivity and lower costs incurred for the Simplify to Grow Program. These favorable items were partially offset by higher raw material costs, higher advertising and consumer promotion costs, unfavorable currency and higher other selling, general and administrative expenses.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1,867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revenues increased $122 million (7.0%), due to favorable volume/mix (6.4 pp), higher net pricing (2.5 pp) and the impact of an acquisition (0.9 pp), partially offset by unfavorable currency (2.8 pp). Favorable volume/mix reflected overall volume gains from increased demand for our snack category products, though some markets were still challenged due to the pandemic. Favorable volume/mix was driven by gains in chocolate, biscuits, refreshment beverages, gum and candy, partially offset by declines in cheese &amp; grocery. Higher net pricing was reflected across all categories except gum. The April 1, 2021 acquisition of Gourmet Food added incremental net revenues of $15 million (constant currency basis) in the first quarter of 2022. Unfavorable currency impacts were due to the strength of the U.S. dollar relative to most currencies in the region, including the Australian dollar, Indian rupee and Philippine peso, partially offset by the strength of a few currencies relative to the U.S. dollar, primarily the Chinese yuan.</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Segment operating income decreased $90 million (24.9%), primarily due to intangible asset impairment charges incurred in the first quarter of 2022, higher raw material costs, higher costs incurred for the Simplify to Grow Program, higher advertising and consumer promotion costs, unfavorable currency and higher other selling, general and administrative expenses. These unfavorable items were partially offset by higher net pricing, favorable volume/mix and lower manufacturing costs driven by productivity.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2,935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(32.3)%</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Net revenues increased $88 million (3.1%), due to the impact of acquisitions (6.4 pp), favorable volume/mix (3.4 pp) and higher net pricing (1.5 pp), partially offset by unfavorable currency (8.2 pp). The January 3, 2022 acquisition of Chipita added incremental net revenues of $162 million (constant currency basis) and the March 25, 2021 acquisition of Grenade added incremental net revenues of $22 million (constant currency basis) in the first quarter of 2022. Favorable volume/mix was driven by strong volume growth as we experienced increased demand for our snack category products and our world travel business grew as global travel continued to improve though still below pre-pandemic levels. Favorable volume/mix was driven by gains in chocolate, biscuits, candy and gum, partially offset by declines in cheese &amp; grocery and refreshment beverages. Higher net pricing was reflected across all categories except refreshment beverages. Unfavorable currency impacts reflected the strength of the U.S. dollar relative to most currencies across the region, including the euro, Turkish lira, Russian ruble, British pound sterling, Polish zloty and Swedish krona.</w:t>
      </w:r>
    </w:p>
    <w:p>
      <w:pPr>
        <w:spacing w:after="0" w:line="2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Segment operating income decreased $180 million (32.3%), primarily due to incremental costs incurred due to the war in Ukraine, unfavorable currency, acquisition integration costs incurred in the first quarter of 2022, higher advertising and consumer promotion costs and higher other selling, general and administrative expenses. These unfavorable items were partially offset by higher net pricing, favorable volume/mix, lower Simplify to Grow program costs, the impact of acquisitions and lower manufacturing costs due to productivity.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2,136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54.8 %</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Net revenues increased $159 million (8.0%), due to higher net pricing (7.5 pp), the impact of an acquisition (0.3 pp) and favorable volume/mix (0.2 pp). Higher net pricing was reflected across all categories driven by pricing actions taken in the first three months of 2022. The January 3, 2022 acquisition of Chipita added incremental net revenues of $7 million in the first quarter of 2022. Favorable volume/mix was driven by gains in candy, chocolate and gum, mostly offset by a decline in biscuits which primarily reflected the impact of supply chain constraints on volume.</w:t>
      </w:r>
    </w:p>
    <w:p>
      <w:pPr>
        <w:spacing w:after="0" w:line="232"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Segment operating income increased $148 million (54.8%), primarily due to higher net pricing and lower Simplify to Grow Program costs. These favorable items were partially offset by higher raw material costs, unfavorable volume/mix and higher manufacturing costs net of productivity.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that cash from operations, our revolving credit and term loan facilities, short-term borrowings and our authorized long-term financing will continue to provide sufficient liquidity for our working capital needs, planned capital expenditures, future payments of our contractual, tax and benefit plan obligations and payments for acquisitions, share repurchases and quarterly dividends. We expect to continue to utilize our commercial paper program and available international credit lines as needed. We continually evaluate long-term debt issuances to meet our short- and longer-term funding requirements. We also use intercompany loans with our international subsidiaries to improve financial flexibility. Our investments in JDE Peet's and KDP also provide us additional flexibility. Overall, we do not expect negative effects to our funding sources that would have a material effect on our liquidity, and we continue to monitor our operations in Europe and effects from the war in Ukraine. To date, we have been successful in generating cash and raising financing as needed. However, in connection with the COVID-19 pandemic, war in Ukraine or other circumstances, if a serious economic or credit market crisis ensues, it could have a material adverse effect on our liquidity, results of operations and financial condition.</w:t>
      </w:r>
    </w:p>
    <w:p>
      <w:pPr>
        <w:spacing w:after="0" w:line="23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and property, plant and equipment.</w:t>
      </w:r>
    </w:p>
    <w:p>
      <w:pPr>
        <w:spacing w:after="0" w:line="21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which is payable through 2026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our long-term benefit plan obligations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Note 11</w:t>
      </w:r>
      <w:r>
        <w:rPr>
          <w:rFonts w:ascii="Arial" w:cs="Arial" w:eastAsia="Arial" w:hAnsi="Arial"/>
          <w:sz w:val="18"/>
          <w:szCs w:val="18"/>
          <w:i w:val="1"/>
          <w:iCs w:val="1"/>
          <w:color w:val="auto"/>
        </w:rPr>
        <w:t>, Benefit Plans,</w:t>
      </w:r>
      <w:r>
        <w:rPr>
          <w:rFonts w:ascii="Arial" w:cs="Arial" w:eastAsia="Arial" w:hAnsi="Arial"/>
          <w:sz w:val="18"/>
          <w:szCs w:val="18"/>
          <w:color w:val="auto"/>
        </w:rPr>
        <w:t xml:space="preserve"> in our Annual report on Form 10-K) and commodity-related purchase commitments and derivative contracts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8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2021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410"/>
              <w:spacing w:after="0"/>
              <w:rPr>
                <w:sz w:val="20"/>
                <w:szCs w:val="20"/>
                <w:color w:val="auto"/>
              </w:rPr>
            </w:pPr>
            <w:r>
              <w:rPr>
                <w:rFonts w:ascii="Arial" w:cs="Arial" w:eastAsia="Arial" w:hAnsi="Arial"/>
                <w:sz w:val="18"/>
                <w:szCs w:val="18"/>
                <w:color w:val="auto"/>
              </w:rPr>
              <w:t>1,131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8"/>
              </w:rPr>
              <w:t>(1,441)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90"/>
              <w:spacing w:after="0"/>
              <w:rPr>
                <w:sz w:val="20"/>
                <w:szCs w:val="20"/>
                <w:color w:val="auto"/>
              </w:rPr>
            </w:pPr>
            <w:r>
              <w:rPr>
                <w:rFonts w:ascii="Arial" w:cs="Arial" w:eastAsia="Arial" w:hAnsi="Arial"/>
                <w:sz w:val="18"/>
                <w:szCs w:val="18"/>
                <w:color w:val="auto"/>
                <w:w w:val="98"/>
              </w:rPr>
              <w:t>(1,280)</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(1,781)</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increase in net cash provided by operating activities was due primarily to lower year-over-year working capital requirements, higher cash earnings, lower tax payments and higher dividends received from our equity method investments, partially offset by higher acquisition integration-related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The increase in net cash used in investing activities was largely driven by higher cash payments for acquisitions, including $1.4 billion cash consideration paid for the Chipita acquisition during January 2022 relative to $490 million paid to acquire a majority interest in Grenade and the remaining equity of Hu Master Holdings during the first quarter of 2021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partially offset by proceeds related to a sale of an acquired Chipita equity method investment and lower capital expenditures. We continue to make capital expenditures primarily to modernize manufacturing facilities and support new product and productivity initiatives. We expect 2022 capital expenditures to be approximately $1.2 billion, including capital expenditures in connection with our Simplify to Grow Program. We expect to continue to fund these expenditures with cash from operations.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 xml:space="preserve">The decrease in cash used in financing activities was primarily due to lower share repurchases as well as lower net debt repayments as we largely refinanced debt during the first quarter of 2022 with lower interest rate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and we lapped higher amounts of net long-term debt repayments in the prior-year first quarter. The decrease in cash used in financing activities was partially offset by higher dividends paid in the first three months of 2022 than in the same prior-year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 We have been informed by the participating financial institutions that as of March 31, 2022, and March 31, 2021, $2.5 billion and $2.3 billion, respectively, of our accounts payable to suppliers that participate in the SCF programs are outstanding.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March 31, 2022, we had no material third-party guarantees recorded on our condensed consolidated balance sheet. Guarantees do not have, and we do not expect them to have, a material effect on our liquidity.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21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three months of 2022. In the next 12 months, we expect to repay approximately $0.7 billion of maturing long-term debt including $0.2 billion in July 2022 and $0.5 billion in September 2022. We fund ongoing debt maturities and other long-term obligations using cash on hand or we may refinance obligations with long-term debt or short-term financing (such as our commercial paper borrowings) depending on financing available, timing considerations, flexibility to raise funding and the cost of financing.</w:t>
      </w:r>
    </w:p>
    <w:p>
      <w:pPr>
        <w:spacing w:after="0" w:line="2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During December 2021, our Board of Directors approved a new $7.0 billion long-term financing authority to replace the prior $6.0 billion authority. As of March 31, 2022, $5 billion of the long-term financing authorization remained available, with $2 billion of this amount allocated for any borrowings that we may make under the term loan facility we entered into in March 2022. Refer to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Our total debt was $ 19.7 billion at March 31, 2022 and $19.5 billion at December 31, 2021. Our debt-to-capitalization ratio was 0.41 at March 31, 2022 and 0.41 at December 31, 2021. At March 31, 2022, the weighted-average term of our outstanding long-term debt was 9.4 years. Our average daily commercial paper borrowings outstanding were $1.2 billion in the first three months of 2022 and $ 0.2 billion in the first three months of 2021. We had commercial paper outstanding totaling $0.5 billion as of March 31, 2022 and $0.2 billion as of December 31, 2021. We expect to continue to use cash or commercial paper to finance various short-term financing needs. Through March 31, 2022, we continue to comply with our debt covenants.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74.4% (or $5.8 billion) of the $7.8 billion of consolidated net revenue in the three months ended March 31, 2022. The operations held by MIHN represented approximately 81.6% (or $23.0 billion) of the $28.2 billion of net assets as of March 31, 2022 and 79.2% (or $22.4 billion) of the $28.3 billion of net assets as of December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more information on our debt and debt covenants.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three months of 2022, the primary drivers of the increase in our aggregate commodity costs were higher packaging, edible oils, dairy, energy, grains, sugar and other ingredient costs, partially offset by favorable year-over-year currency exchange transaction costs on imported materials and lower cocoa costs.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number of external factors such as the COVID-19 global pandemic, effects of the war in Ukraine, climate and weather conditions, commodity, transportation and labor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international supply chain, transportation and labor market disruptions and generally higher commodity, transportation and labor costs in the first quarter of 2022, we expect price volatility and a higher aggregate cost environment to continue in the remainder of 2022. While the costs of our principal raw materials fluctuate, we believe there will continue to be an adequate supply of the raw materials we use and that they will generally remain available.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xml:space="preserve">, to our condensed consolidated financial statements and Part II, Item 2, </w:t>
      </w:r>
      <w:r>
        <w:rPr>
          <w:rFonts w:ascii="Arial" w:cs="Arial" w:eastAsia="Arial" w:hAnsi="Arial"/>
          <w:sz w:val="18"/>
          <w:szCs w:val="18"/>
          <w:i w:val="1"/>
          <w:iCs w:val="1"/>
          <w:color w:val="auto"/>
        </w:rPr>
        <w:t>Unregistered Sales of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Use of Proceeds</w:t>
      </w:r>
      <w:r>
        <w:rPr>
          <w:rFonts w:ascii="Arial" w:cs="Arial" w:eastAsia="Arial" w:hAnsi="Arial"/>
          <w:sz w:val="18"/>
          <w:szCs w:val="18"/>
          <w:color w:val="auto"/>
        </w:rPr>
        <w:t>, for more information on our stock plans, grant activity and share repurchase program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March 31, 2022, our Board of Directors has authorized share repurchases up to $23.7 billion through December 31, 2023. Under this program, we have repurchased approximately $20.8 billion of shares through March 31, 2022 ($0.8 billion in the first three months of 2022, $2.1 billion in 2021, $1.4 billion in 2020, $1.5 billion in 2019, $2.0 billion in 2018, $2.2 billion in 2017, $2.6 billion in 2016, $3.6 billion in 2015, $1.9 billion in 2014 and $2.7 billion in 2013), at a weighted-average cost of $42.50 per share.</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paid dividends of $491 million in the first three months of 2022 and $453 million in the first three months of 2021. The first quarter 2022 dividend of $0.35 per share, declared on February 3, 2022 for shareholders of record as of March 31, 2022, was paid on April 14, 2022.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anticipate that the 2022 distributions will be characterized as dividends under U.S. federal income tax rules. The final determination will be made on an IRS Form 1099–DIV issued in early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2021.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2021.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also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“likely,” “estimate,” “anticipate,” “objective,” “predict,” “project,” “seek,” “aim,” “potential,” “outlook” and similar expressions are intended to identify our forward-looking statements, including but not limited to statements about: the impact on our business of the war in Ukraine and current and future sanctions imposed by governments or other authorities, including the impact on matters such as costs, markets, the global economic environment, availability of commodities, demand, supplying our Ukraine business's customers and consumers, impairments, continuation of and our ability to control our operating activities and businesses in Russia and Ukraine, and our operating results; the impact of the COVID-19 pandemic and related disruptions on our business including consumer demand, costs, product mix, our strategic initiatives, our and our partners’ global supply chains, operations, technology and assets, and our financial performance; our future performance, including our future revenue and earnings growth; our strategy to accelerate consumer-centric growth, drive operational excellence and create a winning growth culture; our leadership position in snacking; volatility in global consumer, commodity, transportation, labor, currency and capital markets; price volatility, inflation and pricing actions; the cost environment, including higher labor, customer service, commodity, transportation, operating, and other costs, factors affecting costs and measures we are taking to address increased costs; supply, transportation and labor disruptions and constraints; consumer behavior, consumption and demand trends and our business in developed and emerging markets, our channels, our brands and our categories; our tax rate, tax positions, tax proceedings, tax liabilities, valuation allowances and the impact on us of potential U.S. and global tax reform; advertising and promotion bans and restrictions in the U.K.; the costs of, timing of expenditures under and completion of our restructuring program; consumer snacking behaviors; commodity prices, supply and availability; our investments and our ownership interests in those investments, including JDE Peet's and KDP; innovation; political, business and economic conditions and volatility; currency exchange rates, controls and restrictions, volatility in foreign currencies and the effect of currency translation on our results of operations; the application of highly inflationary accounting for our subsidiaries in Argentina and Türkiye and the potential for and impacts from currency devaluation in other countries;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ability to prevent and respond to cybersecurity breaches and disruptions; our liquidity, funding sources and uses of funding, including debt issuances and our use of commercial paper and international credit lines; our capital structure, credit availability and our ability to raise capital, and the impact of market disruptions on us, our counterparties and our business partners; the planned phase out of London Interbank Offered Rates and transition to any other interest rate benchmark; our risk management program, including the use of financial instruments and the impacts and effectiveness of our hedging activities; working capital; capital expenditures and funding; funding of debt maturities, acquisitions and other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obligations; share repurchases; dividends; long-term value for our shareholders; guarantees; the characterization of 2022 distributions as dividends; compliance with our debt covenants; and our contractual and other obligations.</w:t>
      </w:r>
    </w:p>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and many of these risks and uncertainties are currently amplified by and may continue to be amplified by the COVID-19 pandemic, including the spread of new variants of COVID-19 such as Omicron. Important factors that could cause our actual results to differ materially from those described in our forward-looking statements include, but are not limited to, the impact of ongoing or new developments in the war in Ukraine, related current and future sanctions imposed by governments and other authorities, and related impacts on our business, growth, reputation, prospects, financial condition, operating results (including components of our financial results), cash flows and liquidity; uncertainty about the effectiveness of efforts by health officials and governments to control the spread of COVID-19 and inoculate and treat populations impacted by COVID-19; uncertainty about the reimposition or lessening of restrictions imposed by governments intended to mitigate the spread of COVID-19 and the magnitude, duration, geographic reach and impact on the global economy of COVID-19; the ongoing, and uncertain future, impact of the COVID-19 pandemic on our business, growth, reputation, prospects, financial condition, operating results (including components of our financial results), cash flows and liquidity; risks from operating globally including in emerging markets; changes in currency exchange rates, controls and restrictions; volatility of commodity and other input costs and availability of commodities; weakness in economic conditions; weakness in consumer spending; pricing actions; tax matters including changes in tax laws and rates, disagreements with taxing authorities and imposition of new taxes; use of information technology and third party service providers; unanticipated disruptions to our business, such as malware incidents, cyberattacks or other security breaches, and our compliance with privacy and data security laws; global or regional health pandemics or epidemics, including COVID-19; competition and our response to channel shifts and pricing and other competitive pressures; promotion and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and shifts in labor availability; consolidation of retail customers and competition with retailer and other economy brands; changes in our relationships with customers, suppliers or distributors; compliance with legal, regulatory, tax and benefit laws and related changes, claims or actions; the impact of climate change on our supply chain and operations;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or disclosure controls and procedures; volatility of and access to capital or other markets, the effectiveness of our cash management programs and our liquidity; pension costs; the expected discontinuance of London Interbank Offered Rates and transition to any other interest rate benchmark; and our ability to protect our intellectual property and intangible assets. 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3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0"/>
          <w:szCs w:val="10"/>
          <w:color w:val="auto"/>
        </w:rPr>
        <w:t>(1)</w:t>
      </w:r>
      <w:r>
        <w:rPr>
          <w:rFonts w:ascii="Arial" w:cs="Arial" w:eastAsia="Arial" w:hAnsi="Arial"/>
          <w:sz w:val="18"/>
          <w:szCs w:val="18"/>
          <w:color w:val="auto"/>
        </w:rPr>
        <w:t>.</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83"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ind w:left="980" w:right="200" w:hanging="324"/>
        <w:spacing w:after="0" w:line="224" w:lineRule="auto"/>
        <w:tabs>
          <w:tab w:leader="none" w:pos="9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ind w:left="980" w:right="600" w:hanging="324"/>
        <w:spacing w:after="0" w:line="261" w:lineRule="auto"/>
        <w:tabs>
          <w:tab w:leader="none" w:pos="9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14" w:lineRule="exact"/>
        <w:rPr>
          <w:rFonts w:ascii="Arial" w:cs="Arial" w:eastAsia="Arial" w:hAnsi="Arial"/>
          <w:sz w:val="18"/>
          <w:szCs w:val="18"/>
          <w:color w:val="auto"/>
        </w:rPr>
      </w:pPr>
    </w:p>
    <w:p>
      <w:pPr>
        <w:ind w:left="660" w:right="180" w:hanging="328"/>
        <w:spacing w:after="0" w:line="21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divestiture-related costs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acquisition-related costs, and acquisition integration costs and contingent consideration adjustments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mark-to-market impacts from commodity, forecasted currency and equity method investment transaction derivative contracts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incremental costs due to the war in Ukraine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and costs associated with the JDE Peet's transaction.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80" w:lineRule="exact"/>
        <w:rPr>
          <w:sz w:val="20"/>
          <w:szCs w:val="20"/>
          <w:color w:val="auto"/>
        </w:rPr>
      </w:pPr>
    </w:p>
    <w:p>
      <w:pPr>
        <w:ind w:left="980" w:right="20" w:hanging="324"/>
        <w:spacing w:after="0" w:line="241"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first quarter of 2022, we added to the non-GAAP definitions the exclusion of incremental costs due to the war in Ukraine (refer to footnote (8) below).</w:t>
      </w:r>
    </w:p>
    <w:p>
      <w:pPr>
        <w:ind w:left="980" w:right="100" w:hanging="324"/>
        <w:spacing w:after="0" w:line="241"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Related to acquisitions, we exclude the impact of adjustments made to our acquisition contingent consideration liabilities that were recorded at the date of acquisition. We made this adjustment to better facilitate comparisons of our underlying operating performance across periods.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information on acquisitions and divestitures impacting the comparability of our results.</w:t>
      </w:r>
    </w:p>
    <w:p>
      <w:pPr>
        <w:spacing w:after="0" w:line="2" w:lineRule="exact"/>
        <w:rPr>
          <w:rFonts w:ascii="Arial" w:cs="Arial" w:eastAsia="Arial" w:hAnsi="Arial"/>
          <w:sz w:val="14"/>
          <w:szCs w:val="14"/>
          <w:color w:val="auto"/>
        </w:rPr>
      </w:pPr>
    </w:p>
    <w:p>
      <w:pPr>
        <w:jc w:val="both"/>
        <w:ind w:left="980" w:right="160" w:hanging="324"/>
        <w:spacing w:after="0" w:line="241"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80" w:hanging="324"/>
        <w:spacing w:after="0" w:line="241"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100" w:hanging="324"/>
        <w:spacing w:after="0" w:line="241"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ind w:left="980" w:right="280" w:hanging="324"/>
        <w:spacing w:after="0" w:line="241"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contracts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2" w:lineRule="exact"/>
        <w:rPr>
          <w:rFonts w:ascii="Arial" w:cs="Arial" w:eastAsia="Arial" w:hAnsi="Arial"/>
          <w:sz w:val="14"/>
          <w:szCs w:val="14"/>
          <w:color w:val="auto"/>
        </w:rPr>
      </w:pPr>
    </w:p>
    <w:p>
      <w:pPr>
        <w:ind w:left="980" w:right="380" w:hanging="324"/>
        <w:spacing w:after="0" w:line="241"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in this report, and Note 14, </w:t>
      </w:r>
      <w:r>
        <w:rPr>
          <w:rFonts w:ascii="Arial" w:cs="Arial" w:eastAsia="Arial" w:hAnsi="Arial"/>
          <w:sz w:val="14"/>
          <w:szCs w:val="14"/>
          <w:i w:val="1"/>
          <w:iCs w:val="1"/>
          <w:color w:val="auto"/>
        </w:rPr>
        <w:t>Commitments and Contingencies –Tax Matters</w:t>
      </w:r>
      <w:r>
        <w:rPr>
          <w:rFonts w:ascii="Arial" w:cs="Arial" w:eastAsia="Arial" w:hAnsi="Arial"/>
          <w:sz w:val="14"/>
          <w:szCs w:val="14"/>
          <w:color w:val="auto"/>
        </w:rPr>
        <w:t>, in our Annual Report on Form 10-K for the year ended December 31, 2021.</w:t>
      </w:r>
    </w:p>
    <w:p>
      <w:pPr>
        <w:ind w:left="980" w:right="80" w:hanging="324"/>
        <w:spacing w:after="0" w:line="247"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February 2022, Russia began a military invasion of Ukraine and we stopped our production and closed our facilities in Ukraine. We began to incur incremental costs directly related to the war including asset impairments, such as property and inventory losses, higher expected allowances for uncollectible accounts receivable and committed compensation. We have isolated and exclude these costs from our operating results to facilitate evaluation and comparisons of our ongoing results. Incremental costs related to increasing operations in other primarily European facilities are not included with these costs.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980" w:right="180" w:hanging="324"/>
        <w:spacing w:after="0" w:line="241" w:lineRule="auto"/>
        <w:tabs>
          <w:tab w:leader="none" w:pos="96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40" w:hanging="324"/>
        <w:spacing w:after="0" w:line="241"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Refer to our Annual Report on Form 10-K for the year ended December 31, 2021 for more information on the impact of Swiss and U.S. tax reform.</w:t>
      </w:r>
    </w:p>
    <w:p>
      <w:pPr>
        <w:spacing w:after="0" w:line="1" w:lineRule="exact"/>
        <w:rPr>
          <w:rFonts w:ascii="Arial" w:cs="Arial" w:eastAsia="Arial" w:hAnsi="Arial"/>
          <w:sz w:val="14"/>
          <w:szCs w:val="14"/>
          <w:color w:val="auto"/>
        </w:rPr>
      </w:pPr>
    </w:p>
    <w:p>
      <w:pPr>
        <w:ind w:left="980" w:hanging="324"/>
        <w:spacing w:after="0" w:line="244"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and acquisitions.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pacing w:after="0" w:line="110" w:lineRule="exact"/>
        <w:rPr>
          <w:sz w:val="20"/>
          <w:szCs w:val="20"/>
          <w:color w:val="auto"/>
        </w:rPr>
      </w:pPr>
    </w:p>
    <w:p>
      <w:pPr>
        <w:ind w:left="2900"/>
        <w:spacing w:after="0"/>
        <w:tabs>
          <w:tab w:leader="none" w:pos="7460" w:val="left"/>
        </w:tabs>
        <w:rPr>
          <w:sz w:val="20"/>
          <w:szCs w:val="20"/>
          <w:color w:val="auto"/>
        </w:rPr>
      </w:pPr>
      <w:r>
        <w:rPr>
          <w:rFonts w:ascii="Arial" w:cs="Arial" w:eastAsia="Arial" w:hAnsi="Arial"/>
          <w:sz w:val="14"/>
          <w:szCs w:val="14"/>
          <w:b w:val="1"/>
          <w:bCs w:val="1"/>
          <w:color w:val="auto"/>
        </w:rPr>
        <w:t>For the Three Months Ended March 31, 2022</w:t>
      </w:r>
      <w:r>
        <w:rPr>
          <w:sz w:val="20"/>
          <w:szCs w:val="20"/>
          <w:color w:val="auto"/>
        </w:rPr>
        <w:tab/>
      </w:r>
      <w:r>
        <w:rPr>
          <w:rFonts w:ascii="Arial" w:cs="Arial" w:eastAsia="Arial" w:hAnsi="Arial"/>
          <w:sz w:val="14"/>
          <w:szCs w:val="14"/>
          <w:b w:val="1"/>
          <w:bCs w:val="1"/>
          <w:color w:val="auto"/>
        </w:rPr>
        <w:t>For the Three Months Ended March 31, 2021</w:t>
      </w:r>
    </w:p>
    <w:p>
      <w:pPr>
        <w:sectPr>
          <w:pgSz w:w="11900" w:h="16838" w:orient="portrait"/>
          <w:cols w:equalWidth="0" w:num="1">
            <w:col w:w="11220"/>
          </w:cols>
          <w:pgMar w:left="320" w:top="382" w:right="359" w:bottom="1440" w:gutter="0" w:footer="0" w:header="0"/>
        </w:sectPr>
      </w:pPr>
    </w:p>
    <w:p>
      <w:pPr>
        <w:spacing w:after="0" w:line="28" w:lineRule="exact"/>
        <w:rPr>
          <w:sz w:val="20"/>
          <w:szCs w:val="20"/>
          <w:color w:val="auto"/>
        </w:rPr>
      </w:pPr>
    </w:p>
    <w:tbl>
      <w:tblPr>
        <w:tblLayout w:type="fixed"/>
        <w:tblInd w:w="216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480"/>
          </w:cols>
          <w:pgMar w:left="320" w:top="382"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7,764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7,238</w:t>
            </w:r>
          </w:p>
        </w:tc>
      </w:tr>
      <w:tr>
        <w:trPr>
          <w:trHeight w:val="213"/>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2,987</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4,870</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7,857</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2,563</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4,675</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7,238</w:t>
            </w:r>
          </w:p>
        </w:tc>
      </w:tr>
      <w:tr>
        <w:trPr>
          <w:trHeight w:val="21"/>
        </w:trPr>
        <w:tc>
          <w:tcPr>
            <w:tcW w:w="2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forecasted currency and equity method investment transaction derivative contracts; acquisition integration costs and contingent consideration adjustments; acquisition-related costs; divestiture-related costs; gain on an acquisition; incremental costs due to the war in Ukraine; the remeasurement of net monetary position; and impact from pension participation changes. We also evaluate Adjusted Operating Income on a constant currency basis. We believe these measures provide improved comparability of underlying operating results.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0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5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6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53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3"/>
              </w:rPr>
              <w:t>1,094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r>
      <w:tr>
        <w:trPr>
          <w:trHeight w:val="229"/>
        </w:trPr>
        <w:tc>
          <w:tcPr>
            <w:tcW w:w="5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86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3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78"/>
        </w:trPr>
        <w:tc>
          <w:tcPr>
            <w:tcW w:w="5380" w:type="dxa"/>
            <w:vAlign w:val="bottom"/>
            <w:shd w:val="clear" w:color="auto" w:fill="CCEEFF"/>
          </w:tcPr>
          <w:p>
            <w:pPr>
              <w:ind w:left="180"/>
              <w:spacing w:after="0" w:line="178" w:lineRule="exact"/>
              <w:rPr>
                <w:sz w:val="20"/>
                <w:szCs w:val="20"/>
                <w:color w:val="auto"/>
              </w:rPr>
            </w:pPr>
            <w:r>
              <w:rPr>
                <w:rFonts w:ascii="Arial" w:cs="Arial" w:eastAsia="Arial" w:hAnsi="Arial"/>
                <w:sz w:val="18"/>
                <w:szCs w:val="18"/>
                <w:color w:val="auto"/>
              </w:rPr>
              <w:t>Acquisition integration costs and</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27"/>
        </w:trPr>
        <w:tc>
          <w:tcPr>
            <w:tcW w:w="5380" w:type="dxa"/>
            <w:vAlign w:val="bottom"/>
            <w:shd w:val="clear" w:color="auto" w:fill="CCEEFF"/>
          </w:tcPr>
          <w:p>
            <w:pPr>
              <w:ind w:left="34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86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3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(4)</w:t>
            </w:r>
          </w:p>
        </w:tc>
        <w:tc>
          <w:tcPr>
            <w:tcW w:w="8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3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(5)</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3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86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3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3"/>
                <w:szCs w:val="23"/>
                <w:color w:val="auto"/>
                <w:vertAlign w:val="superscript"/>
              </w:rPr>
              <w:t>(6)</w:t>
            </w: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860" w:type="dxa"/>
            <w:vAlign w:val="bottom"/>
            <w:tcBorders>
              <w:top w:val="single" w:sz="8" w:color="auto"/>
            </w:tcBorders>
          </w:tcPr>
          <w:p>
            <w:pPr>
              <w:jc w:val="right"/>
              <w:ind w:right="657"/>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3"/>
              </w:rPr>
              <w:t>1,378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1,292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6.7 %</w:t>
            </w: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8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3"/>
              </w:rPr>
              <w:t>1,467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13.5 %</w:t>
            </w: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right="400" w:hanging="332"/>
        <w:spacing w:after="0" w:line="24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forecasted currency and equity method investment transaction derivatives.</w:t>
      </w:r>
    </w:p>
    <w:p>
      <w:pPr>
        <w:ind w:left="340" w:right="180" w:hanging="332"/>
        <w:spacing w:after="0" w:line="24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January 3, 2022 acquisition of Chipita, the April 1, 2021 acquisition of Gourmet Food Holdings Pty Ltd, the March 25, 2021 acquisition of a majority interest in Grenade and the January 4, 2021 acquisition of the remaining 93% of equity in Hu Master Holdings.</w:t>
      </w: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0"/>
          <w:szCs w:val="10"/>
          <w:color w:val="auto"/>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net earnings from divestitures; losses on debt extinguishment and related expenses; initial impacts from enacted tax law changes; losses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02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6"/>
        </w:trPr>
        <w:tc>
          <w:tcPr>
            <w:tcW w:w="54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54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r>
      <w:tr>
        <w:trPr>
          <w:trHeight w:val="230"/>
        </w:trPr>
        <w:tc>
          <w:tcPr>
            <w:tcW w:w="540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40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8"/>
        </w:trPr>
        <w:tc>
          <w:tcPr>
            <w:tcW w:w="5400" w:type="dxa"/>
            <w:vAlign w:val="bottom"/>
            <w:shd w:val="clear" w:color="auto" w:fill="CCEEFF"/>
          </w:tcPr>
          <w:p>
            <w:pPr>
              <w:ind w:left="160"/>
              <w:spacing w:after="0" w:line="178" w:lineRule="exact"/>
              <w:rPr>
                <w:sz w:val="20"/>
                <w:szCs w:val="20"/>
                <w:color w:val="auto"/>
              </w:rPr>
            </w:pPr>
            <w:r>
              <w:rPr>
                <w:rFonts w:ascii="Arial" w:cs="Arial" w:eastAsia="Arial" w:hAnsi="Arial"/>
                <w:sz w:val="18"/>
                <w:szCs w:val="18"/>
                <w:color w:val="auto"/>
              </w:rPr>
              <w:t>Acquisition integration costs and</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7"/>
        </w:trPr>
        <w:tc>
          <w:tcPr>
            <w:tcW w:w="5400" w:type="dxa"/>
            <w:vAlign w:val="bottom"/>
            <w:shd w:val="clear" w:color="auto" w:fill="CCEEFF"/>
          </w:tcPr>
          <w:p>
            <w:pPr>
              <w:ind w:left="320"/>
              <w:spacing w:after="0" w:line="228"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40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(3)</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40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40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23"/>
                <w:szCs w:val="23"/>
                <w:color w:val="auto"/>
                <w:vertAlign w:val="superscript"/>
              </w:rPr>
              <w:t>(4)</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400" w:type="dxa"/>
            <w:vAlign w:val="bottom"/>
          </w:tcPr>
          <w:p>
            <w:pPr>
              <w:ind w:left="16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(5)</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3"/>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EPS</w:t>
            </w: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6.3 %</w:t>
            </w:r>
          </w:p>
        </w:tc>
      </w:tr>
      <w:tr>
        <w:trPr>
          <w:trHeight w:val="229"/>
        </w:trPr>
        <w:tc>
          <w:tcPr>
            <w:tcW w:w="5400" w:type="dxa"/>
            <w:vAlign w:val="bottom"/>
          </w:tcPr>
          <w:p>
            <w:pPr>
              <w:ind w:left="200"/>
              <w:spacing w:after="0"/>
              <w:rPr>
                <w:sz w:val="20"/>
                <w:szCs w:val="20"/>
                <w:color w:val="auto"/>
              </w:rPr>
            </w:pPr>
            <w:r>
              <w:rPr>
                <w:rFonts w:ascii="Arial" w:cs="Arial" w:eastAsia="Arial" w:hAnsi="Arial"/>
                <w:sz w:val="18"/>
                <w:szCs w:val="18"/>
                <w:color w:val="auto"/>
              </w:rPr>
              <w:t>Unfavorable currency translation</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8"/>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EPS (constant currency)</w:t>
            </w:r>
          </w:p>
        </w:tc>
        <w:tc>
          <w:tcPr>
            <w:tcW w:w="88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4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329" w:lineRule="exact"/>
        <w:rPr>
          <w:sz w:val="20"/>
          <w:szCs w:val="20"/>
          <w:color w:val="auto"/>
        </w:rPr>
      </w:pPr>
    </w:p>
    <w:p>
      <w:pPr>
        <w:ind w:left="340" w:right="120" w:hanging="332"/>
        <w:spacing w:after="0" w:line="241"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jc w:val="both"/>
        <w:ind w:left="660" w:right="60" w:hanging="328"/>
        <w:spacing w:after="0" w:line="241" w:lineRule="auto"/>
        <w:tabs>
          <w:tab w:leader="none" w:pos="656" w:val="left"/>
        </w:tabs>
        <w:numPr>
          <w:ilvl w:val="1"/>
          <w:numId w:val="34"/>
        </w:numPr>
        <w:rPr>
          <w:rFonts w:ascii="Arial" w:cs="Arial" w:eastAsia="Arial" w:hAnsi="Arial"/>
          <w:sz w:val="14"/>
          <w:szCs w:val="14"/>
          <w:color w:val="auto"/>
        </w:rPr>
      </w:pPr>
      <w:r>
        <w:rPr>
          <w:rFonts w:ascii="Arial" w:cs="Arial" w:eastAsia="Arial" w:hAnsi="Arial"/>
          <w:sz w:val="14"/>
          <w:szCs w:val="14"/>
          <w:color w:val="auto"/>
        </w:rPr>
        <w:t>For the three months ended March 31, 2022, taxes for the: Simplify to Grow Program were $(7) million, intangible asset impairment charges were $(19) million, mark-to-market gains from derivatives were $(5) million, acquisition integration costs and contingent consideration adjustments were $(50) million, acquisition-related costs were $(1) million, incremental costs due to the war in Ukraine were $2 million and loss on debt extinguishment and related expenses were $(31) million.</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56" w:val="left"/>
        </w:tabs>
        <w:numPr>
          <w:ilvl w:val="1"/>
          <w:numId w:val="34"/>
        </w:numPr>
        <w:rPr>
          <w:rFonts w:ascii="Arial" w:cs="Arial" w:eastAsia="Arial" w:hAnsi="Arial"/>
          <w:sz w:val="14"/>
          <w:szCs w:val="14"/>
          <w:color w:val="auto"/>
        </w:rPr>
      </w:pPr>
      <w:r>
        <w:rPr>
          <w:rFonts w:ascii="Arial" w:cs="Arial" w:eastAsia="Arial" w:hAnsi="Arial"/>
          <w:sz w:val="14"/>
          <w:szCs w:val="14"/>
          <w:color w:val="auto"/>
        </w:rPr>
        <w:t>For the three months ended March 31, 2021, taxes for the: Simplify to Grow Program were $(31) million, mark-to-market gains from derivatives were $22 million, acquisition-related costs were $(1) million, net earnings from divestitures were $3 million, loss on debt extinguishment and related expenses were $(34) million and equity method investee items were $(2) million.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impact from 2021 partial sales of our equity method investment in KDP as if the sales occurred at the beginning of all periods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 w:lineRule="exact"/>
        <w:rPr>
          <w:rFonts w:ascii="Arial" w:cs="Arial" w:eastAsia="Arial" w:hAnsi="Arial"/>
          <w:sz w:val="14"/>
          <w:szCs w:val="14"/>
          <w:color w:val="auto"/>
        </w:rPr>
      </w:pPr>
    </w:p>
    <w:p>
      <w:pPr>
        <w:ind w:left="340" w:right="180" w:hanging="332"/>
        <w:spacing w:after="0" w:line="258" w:lineRule="auto"/>
        <w:tabs>
          <w:tab w:leader="none" w:pos="327"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as well as the war in Ukraine has had a material unfavorable impact on global and local markets, including commodity, currency and capital markets. These markets are likely to continue to remain volatile while these situations continue.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work to mitigate these risks and we largely employ existing strategies that are described below to mitigate currency, commodity and interest rate market risks.</w:t>
      </w:r>
    </w:p>
    <w:p>
      <w:pPr>
        <w:spacing w:after="0" w:line="239"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21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7"/>
          <w:szCs w:val="17"/>
          <w:i w:val="1"/>
          <w:iCs w:val="1"/>
          <w:color w:val="auto"/>
        </w:rPr>
        <w:t>Consolidated Results of Operations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Results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Operations by Reportable Segment </w:t>
      </w:r>
      <w:r>
        <w:rPr>
          <w:rFonts w:ascii="Arial" w:cs="Arial" w:eastAsia="Arial" w:hAnsi="Arial"/>
          <w:sz w:val="17"/>
          <w:szCs w:val="17"/>
          <w:color w:val="auto"/>
        </w:rPr>
        <w:t>under</w:t>
      </w:r>
      <w:r>
        <w:rPr>
          <w:rFonts w:ascii="Arial" w:cs="Arial" w:eastAsia="Arial" w:hAnsi="Arial"/>
          <w:sz w:val="17"/>
          <w:szCs w:val="17"/>
          <w:i w:val="1"/>
          <w:iCs w:val="1"/>
          <w:color w:val="auto"/>
        </w:rPr>
        <w:t xml:space="preserve"> Discussion and Analysis of Historical Results </w:t>
      </w:r>
      <w:r>
        <w:rPr>
          <w:rFonts w:ascii="Arial" w:cs="Arial" w:eastAsia="Arial" w:hAnsi="Arial"/>
          <w:sz w:val="17"/>
          <w:szCs w:val="17"/>
          <w:color w:val="auto"/>
        </w:rPr>
        <w:t>for currency exchange effects on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results during the three months ended March 31, 2022.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7"/>
          <w:szCs w:val="17"/>
          <w:i w:val="1"/>
          <w:iCs w:val="1"/>
          <w:color w:val="auto"/>
        </w:rPr>
        <w:t>Basis of Presentation – Currency Translation and Highly Inflationary Accounting,</w:t>
      </w:r>
      <w:r>
        <w:rPr>
          <w:rFonts w:ascii="Arial" w:cs="Arial" w:eastAsia="Arial" w:hAnsi="Arial"/>
          <w:sz w:val="17"/>
          <w:szCs w:val="17"/>
          <w:color w:val="auto"/>
        </w:rPr>
        <w:t xml:space="preserve"> including our discussion of Türkiye becoming a highly inflationary economy with currency remeasurement impacts expected to start on April 1, 2022.</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unforeseen conditions such as the current COVID-19 global pandemic and war in Ukraine.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Outlook</w:t>
      </w:r>
      <w:r>
        <w:rPr>
          <w:rFonts w:ascii="Arial" w:cs="Arial" w:eastAsia="Arial" w:hAnsi="Arial"/>
          <w:sz w:val="18"/>
          <w:szCs w:val="18"/>
          <w:color w:val="auto"/>
        </w:rPr>
        <w:t xml:space="preserve"> above for updates on recent supply chain, transportation, labor and other disruptions that are increasing operating costs and impacting our results. To manage input cost volatility and inflation, we enter into forward purchase agreements and other derivative financial instruments. We also pursue productivity and cost saving measures and take pricing actions when necessary to mitigate the impact of higher input costs on earnings.</w:t>
      </w:r>
    </w:p>
    <w:p>
      <w:pPr>
        <w:spacing w:after="0" w:line="235"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and commercial paper rates. We periodically use interest rate swaps and forward interest rate contracts to achieve a desired proportion of variable versus fixed rate debt based on current and projected market conditions. For more information on our 2022 debt activity, see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2022 derivative activity. For additional information on our hedging strategies, policies and practices on an ongoing basis, also refer to our Annual Report on Form 10-K for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2022. Based on this evaluation, the CEO and CFO concluded that our disclosure controls and procedures were effective as of March 31,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2022. There were no material changes in our internal control over financial reporting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82" w:right="4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The following represents a material change in our risk factors to those disclosed in our Annual Report on Form 10-K for the year ended December 31, 2021.</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The war in Ukraine has negatively impacted our business operations, financial performance and results of operations, and we are unable to predict the full extent to which the war in Ukraine will negatively impact our business, operations, financial condition, results of operations and stock price in the future.</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scope and duration of the war in Ukraine is uncertain, rapidly changing and hard to predict. Our business operations, financial performance and results of operations have been negatively impacted by the war, as discussed above in </w:t>
      </w:r>
      <w:r>
        <w:rPr>
          <w:rFonts w:ascii="Arial" w:cs="Arial" w:eastAsia="Arial" w:hAnsi="Arial"/>
          <w:sz w:val="18"/>
          <w:szCs w:val="18"/>
          <w:i w:val="1"/>
          <w:iCs w:val="1"/>
          <w:color w:val="auto"/>
        </w:rPr>
        <w:t>Recent Developments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Items Affecting Comparability – War in Ukraine </w:t>
      </w:r>
      <w:r>
        <w:rPr>
          <w:rFonts w:ascii="Arial" w:cs="Arial" w:eastAsia="Arial" w:hAnsi="Arial"/>
          <w:sz w:val="18"/>
          <w:szCs w:val="18"/>
          <w:color w:val="auto"/>
        </w:rPr>
        <w:t>under</w:t>
      </w:r>
      <w:r>
        <w:rPr>
          <w:rFonts w:ascii="Arial" w:cs="Arial" w:eastAsia="Arial" w:hAnsi="Arial"/>
          <w:sz w:val="18"/>
          <w:szCs w:val="18"/>
          <w:i w:val="1"/>
          <w:iCs w:val="1"/>
          <w:color w:val="auto"/>
        </w:rPr>
        <w:t xml:space="preserve"> Management’s Discussion and Analysis of Financial Condition and Results of Operations</w:t>
      </w:r>
      <w:r>
        <w:rPr>
          <w:rFonts w:ascii="Arial" w:cs="Arial" w:eastAsia="Arial" w:hAnsi="Arial"/>
          <w:sz w:val="18"/>
          <w:szCs w:val="18"/>
          <w:color w:val="auto"/>
        </w:rPr>
        <w:t>. We have discontinued new capital investments and suspended our advertising spending in Russia. Other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include but are not limited to those outlined below:</w:t>
      </w:r>
    </w:p>
    <w:p>
      <w:pPr>
        <w:spacing w:after="0" w:line="232" w:lineRule="exact"/>
        <w:rPr>
          <w:sz w:val="20"/>
          <w:szCs w:val="20"/>
          <w:color w:val="auto"/>
        </w:rPr>
      </w:pPr>
    </w:p>
    <w:p>
      <w:pPr>
        <w:ind w:left="660" w:right="200" w:hanging="328"/>
        <w:spacing w:after="0" w:line="265"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 the business and geopolitical environment continues to change, we may further scale back our operations in Russia, which accounted for 2.9% of 2021 consolidated net revenues, or Ukraine, which accounted for 0.5% of 2021 consolidated net revenues.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Russian assets may be partially or fully impaired in future periods based on actions taken by Russia, other parties or us.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war has materially disrupted commodity markets, including for wheat and energy, and is contributing to supply chain disruption and inflation. We expect continued volatility with respect to these costs, and our hedging activities might not sufficiently offset this volatility.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operations may be subject to increased risk of cyber threats as a result of the war.</w:t>
      </w:r>
    </w:p>
    <w:p>
      <w:pPr>
        <w:spacing w:after="0" w:line="9" w:lineRule="exact"/>
        <w:rPr>
          <w:rFonts w:ascii="Arial" w:cs="Arial" w:eastAsia="Arial" w:hAnsi="Arial"/>
          <w:sz w:val="18"/>
          <w:szCs w:val="18"/>
          <w:color w:val="auto"/>
        </w:rPr>
      </w:pPr>
    </w:p>
    <w:p>
      <w:pPr>
        <w:ind w:left="660" w:right="100" w:hanging="328"/>
        <w:spacing w:after="0" w:line="265"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International sanctions and other measures that have been imposed on Russian entities make it more difficult to operate in Russia, and failure to comply with applicable sanctions and measures could subject us to regulatory penalties and reputational risk.</w:t>
      </w:r>
    </w:p>
    <w:p>
      <w:pPr>
        <w:ind w:left="660" w:right="20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might face continued questions from stakeholders about our operations in Russia despite our role as a food company and our public statements about Ukraine and Russia.</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and other impacts of the war in Ukraine could have the effect of heightening many of the other risks described in the “Risk Factors” section of our Annual Report on Form 10-K, such as those relating to our reputation, brands, product sales, sanctions, trade relations in countries in which we operate, input price inflation and volatility, results of operations and financial condition. We might not be able to predict or respond to all impacts on a timely basis to prevent near- or long-term adverse impacts to our results. The ultimate impact of these disruptions also depends on events beyond our knowledge or control, including the scope and duration of the war and actions taken by parties other than us to respond to them. Any of these disruptions could have a negative impact on our business operations, financial performance, results of operations and stock price, and this impact could be material. Additionally, the war in Ukraine may also materially adversely affect our operating results and financial position in a manner that is not currently known to us or that we do not currently consider to be a significant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2022 was: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4,463,391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4,462,207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February 1-28, 2022</w:t>
            </w:r>
          </w:p>
        </w:tc>
        <w:tc>
          <w:tcPr>
            <w:tcW w:w="1520" w:type="dxa"/>
            <w:vAlign w:val="bottom"/>
          </w:tcPr>
          <w:p>
            <w:pPr>
              <w:jc w:val="right"/>
              <w:spacing w:after="0"/>
              <w:rPr>
                <w:sz w:val="20"/>
                <w:szCs w:val="20"/>
                <w:color w:val="auto"/>
              </w:rPr>
            </w:pPr>
            <w:r>
              <w:rPr>
                <w:rFonts w:ascii="Arial" w:cs="Arial" w:eastAsia="Arial" w:hAnsi="Arial"/>
                <w:sz w:val="18"/>
                <w:szCs w:val="18"/>
                <w:color w:val="auto"/>
              </w:rPr>
              <w:t>4,760,384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66.45</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4,280,007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2,403,672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March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11,627,447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65.93</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11,142,301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40" w:right="240" w:hanging="332"/>
        <w:spacing w:after="0" w:line="241"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1,184 shares, 480,377 shares and 3,585 shares for the fiscal months of January, February and March 2022, respectively.</w:t>
      </w:r>
    </w:p>
    <w:p>
      <w:pPr>
        <w:spacing w:after="0" w:line="1" w:lineRule="exact"/>
        <w:rPr>
          <w:rFonts w:ascii="Arial" w:cs="Arial" w:eastAsia="Arial" w:hAnsi="Arial"/>
          <w:sz w:val="14"/>
          <w:szCs w:val="14"/>
          <w:color w:val="auto"/>
        </w:rPr>
      </w:pPr>
    </w:p>
    <w:p>
      <w:pPr>
        <w:ind w:left="340" w:hanging="332"/>
        <w:spacing w:after="0" w:line="245"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Our Board of Directors has authorized the repurchase of $23.7 billion of our Common Stock through December 31, 2023. Authorizations to increase and extend the program duration included: $4.0 billion on December 2, 2020, $6.0 billion on January 31, 2018, $6.0 billion on July 29, 2015, $1.7 billion on December 3, 2013, and $6.0 billion on August 6, 2013 (cumulatively including the amount authorized on March 12, 2013, which was the lesser of 40 million shares and $1.2 billion). Since the program inception on March 12, 2013 through March 31, 2022, we have repurchased $20.8 billion, and as of March 31, 2022, we had approximately $2.9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7"/>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20" w:type="dxa"/>
            <w:vAlign w:val="bottom"/>
            <w:gridSpan w:val="14"/>
          </w:tcPr>
          <w:p>
            <w:pPr>
              <w:ind w:left="100"/>
              <w:spacing w:after="0"/>
              <w:rPr>
                <w:sz w:val="20"/>
                <w:szCs w:val="20"/>
                <w:color w:val="auto"/>
              </w:rPr>
            </w:pPr>
            <w:r>
              <w:rPr>
                <w:rFonts w:ascii="Arial" w:cs="Arial" w:eastAsia="Arial" w:hAnsi="Arial"/>
                <w:sz w:val="18"/>
                <w:szCs w:val="18"/>
                <w:color w:val="auto"/>
              </w:rPr>
              <w:t>Description</w:t>
            </w:r>
          </w:p>
        </w:tc>
      </w:tr>
      <w:tr>
        <w:trPr>
          <w:trHeight w:val="182"/>
        </w:trPr>
        <w:tc>
          <w:tcPr>
            <w:tcW w:w="11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500" w:type="dxa"/>
            <w:vAlign w:val="bottom"/>
            <w:tcBorders>
              <w:top w:val="single" w:sz="8" w:color="auto"/>
            </w:tcBorders>
            <w:gridSpan w:val="19"/>
          </w:tcPr>
          <w:p>
            <w:pPr>
              <w:spacing w:after="0" w:line="182" w:lineRule="exact"/>
              <w:rPr>
                <w:sz w:val="20"/>
                <w:szCs w:val="20"/>
                <w:color w:val="auto"/>
              </w:rPr>
            </w:pPr>
            <w:r>
              <w:rPr>
                <w:rFonts w:ascii="Arial" w:cs="Arial" w:eastAsia="Arial" w:hAnsi="Arial"/>
                <w:sz w:val="18"/>
                <w:szCs w:val="18"/>
                <w:color w:val="auto"/>
              </w:rPr>
              <w:t>The Registrant agrees to furnish to the SEC upon request copies of any instruments defining the rights of</w:t>
            </w:r>
          </w:p>
        </w:tc>
      </w:t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gridSpan w:val="19"/>
          </w:tcPr>
          <w:p>
            <w:pPr>
              <w:spacing w:after="0" w:line="176" w:lineRule="exact"/>
              <w:rPr>
                <w:sz w:val="20"/>
                <w:szCs w:val="20"/>
                <w:color w:val="auto"/>
              </w:rPr>
            </w:pPr>
            <w:r>
              <w:rPr>
                <w:rFonts w:ascii="Arial" w:cs="Arial" w:eastAsia="Arial" w:hAnsi="Arial"/>
                <w:sz w:val="18"/>
                <w:szCs w:val="18"/>
                <w:color w:val="auto"/>
              </w:rPr>
              <w:t>holders of long-term debt of the Registrant and its consolidated subsidiaries that does not exceed 10</w:t>
            </w:r>
          </w:p>
        </w:tc>
      </w:tr>
      <w:tr>
        <w:trPr>
          <w:trHeight w:val="217"/>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9"/>
          </w:tcPr>
          <w:p>
            <w:pPr>
              <w:spacing w:after="0"/>
              <w:rPr>
                <w:sz w:val="20"/>
                <w:szCs w:val="20"/>
                <w:color w:val="auto"/>
              </w:rPr>
            </w:pPr>
            <w:r>
              <w:rPr>
                <w:rFonts w:ascii="Arial" w:cs="Arial" w:eastAsia="Arial" w:hAnsi="Arial"/>
                <w:sz w:val="18"/>
                <w:szCs w:val="18"/>
                <w:color w:val="auto"/>
              </w:rPr>
              <w:t>percent of the total assets of the Registrant and its consolidated subsidiaries.</w:t>
            </w:r>
          </w:p>
        </w:tc>
      </w:tr>
      <w:tr>
        <w:trPr>
          <w:trHeight w:val="189"/>
        </w:trPr>
        <w:tc>
          <w:tcPr>
            <w:tcW w:w="11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500" w:type="dxa"/>
            <w:vAlign w:val="bottom"/>
            <w:gridSpan w:val="19"/>
          </w:tcPr>
          <w:p>
            <w:pPr>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364-Day Revolving Credit Agreement, dated February 23, 2022, by and among Mondelēz International,</w:t>
              </w:r>
            </w:hyperlink>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2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8"/>
              </w:rPr>
            </w:pPr>
            <w:hyperlink r:id="rId117">
              <w:r>
                <w:rPr>
                  <w:rFonts w:ascii="Arial" w:cs="Arial" w:eastAsia="Arial" w:hAnsi="Arial"/>
                  <w:sz w:val="18"/>
                  <w:szCs w:val="18"/>
                  <w:color w:val="0000FF"/>
                  <w:w w:val="98"/>
                </w:rPr>
                <w:t>Inc., the lenders named therein and JPMorgan Chase Bank, N.A., as Administrative Agent (incorporated</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gridSpan w:val="19"/>
          </w:tcPr>
          <w:p>
            <w:pPr>
              <w:spacing w:after="0" w:line="169" w:lineRule="exact"/>
              <w:rPr>
                <w:rFonts w:ascii="Arial" w:cs="Arial" w:eastAsia="Arial" w:hAnsi="Arial"/>
                <w:sz w:val="18"/>
                <w:szCs w:val="18"/>
                <w:color w:val="0000FF"/>
              </w:rPr>
            </w:pPr>
            <w:hyperlink r:id="rId117">
              <w:r>
                <w:rPr>
                  <w:rFonts w:ascii="Arial" w:cs="Arial" w:eastAsia="Arial" w:hAnsi="Arial"/>
                  <w:sz w:val="18"/>
                  <w:szCs w:val="18"/>
                  <w:color w:val="0000FF"/>
                </w:rPr>
                <w:t>by reference to Exhibit 10.1 to the Registrant’s Current Report on Form 8-K filed with the SEC on February</w:t>
              </w:r>
            </w:hyperlink>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6"/>
              </w:rPr>
            </w:pPr>
            <w:hyperlink r:id="rId117">
              <w:r>
                <w:rPr>
                  <w:rFonts w:ascii="Arial" w:cs="Arial" w:eastAsia="Arial" w:hAnsi="Arial"/>
                  <w:sz w:val="18"/>
                  <w:szCs w:val="18"/>
                  <w:color w:val="0000FF"/>
                  <w:w w:val="96"/>
                </w:rPr>
                <w:t>23, 2022).</w:t>
              </w:r>
            </w:hyperlink>
          </w:p>
        </w:tc>
        <w:tc>
          <w:tcPr>
            <w:tcW w:w="12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00" w:type="dxa"/>
            <w:vAlign w:val="bottom"/>
            <w:gridSpan w:val="19"/>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Five-Year Revolving Credit Agreement, dated February 23, 2022, by and among Mondelēz International,</w:t>
              </w:r>
            </w:hyperlink>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Inc., the lenders named therein and JPMorgan Chase Bank, N.A., as Administrative Agent (incorporated</w:t>
              </w:r>
            </w:hyperlink>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gridSpan w:val="19"/>
          </w:tcPr>
          <w:p>
            <w:pPr>
              <w:spacing w:after="0" w:line="169" w:lineRule="exact"/>
              <w:rPr>
                <w:rFonts w:ascii="Arial" w:cs="Arial" w:eastAsia="Arial" w:hAnsi="Arial"/>
                <w:sz w:val="18"/>
                <w:szCs w:val="18"/>
                <w:color w:val="0000FF"/>
              </w:rPr>
            </w:pPr>
            <w:hyperlink r:id="rId118">
              <w:r>
                <w:rPr>
                  <w:rFonts w:ascii="Arial" w:cs="Arial" w:eastAsia="Arial" w:hAnsi="Arial"/>
                  <w:sz w:val="18"/>
                  <w:szCs w:val="18"/>
                  <w:color w:val="0000FF"/>
                </w:rPr>
                <w:t>by reference to Exhibit 10.2 to the Registrant’s Current Report on Form 8-K filed with the SEC on February</w:t>
              </w:r>
            </w:hyperlink>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23, 2022).</w:t>
              </w:r>
            </w:hyperlink>
          </w:p>
        </w:tc>
        <w:tc>
          <w:tcPr>
            <w:tcW w:w="12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10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0" w:type="dxa"/>
            <w:vAlign w:val="bottom"/>
            <w:tcBorders>
              <w:bottom w:val="single" w:sz="8" w:color="0000FF"/>
            </w:tcBorders>
            <w:gridSpan w:val="11"/>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Term Credit Agreement, dated March 31, 2022, by and among Mondelēz International, Inc., the lenders</w:t>
              </w:r>
            </w:hyperlink>
          </w:p>
        </w:tc>
        <w:tc>
          <w:tcPr>
            <w:tcW w:w="300" w:type="dxa"/>
            <w:vAlign w:val="bottom"/>
            <w:gridSpan w:val="8"/>
          </w:tcPr>
          <w:p>
            <w:pPr>
              <w:spacing w:after="0"/>
              <w:rPr>
                <w:sz w:val="19"/>
                <w:szCs w:val="19"/>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gridSpan w:val="19"/>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named therein and Mizuho Bank, Ltd., as Administrative Agent (incorporated by reference to Exhibit 10.1</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to the Registrant’s Current Report on Form 8-K filed with the SEC on March 31, 2022).</w:t>
              </w:r>
            </w:hyperlink>
          </w:p>
        </w:tc>
        <w:tc>
          <w:tcPr>
            <w:tcW w:w="10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9"/>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2022 Form of Mondelēz International, Inc. Amended and Restated 2005 Performance Incentive Plan Non-</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Qualified Global Stock Option Agreement.</w:t>
              </w:r>
              <w:r>
                <w:rPr>
                  <w:rFonts w:ascii="Arial" w:cs="Arial" w:eastAsia="Arial" w:hAnsi="Arial"/>
                  <w:sz w:val="18"/>
                  <w:szCs w:val="18"/>
                  <w:color w:val="000000"/>
                </w:rPr>
                <w:t>+</w:t>
              </w:r>
            </w:hyperlink>
          </w:p>
        </w:tc>
        <w:tc>
          <w:tcPr>
            <w:tcW w:w="8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9"/>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2022 Form of Mondelēz International, Inc. Amended and Restated 2005 Performance Incentive Plan</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04">
              <w:r>
                <w:rPr>
                  <w:rFonts w:ascii="Arial" w:cs="Arial" w:eastAsia="Arial" w:hAnsi="Arial"/>
                  <w:sz w:val="18"/>
                  <w:szCs w:val="18"/>
                  <w:color w:val="0000FF"/>
                </w:rPr>
                <w:t>Global Long-Term Incentive Grant Agreement.</w:t>
              </w:r>
              <w:r>
                <w:rPr>
                  <w:rFonts w:ascii="Arial" w:cs="Arial" w:eastAsia="Arial" w:hAnsi="Arial"/>
                  <w:sz w:val="18"/>
                  <w:szCs w:val="18"/>
                  <w:color w:val="000000"/>
                </w:rPr>
                <w:t>+</w:t>
              </w:r>
            </w:hyperlink>
          </w:p>
        </w:tc>
        <w:tc>
          <w:tcPr>
            <w:tcW w:w="2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9"/>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2022 Form of Mondelēz International, Inc. Amended and Restated 2005 Performance Incentive Plan</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51">
              <w:r>
                <w:rPr>
                  <w:rFonts w:ascii="Arial" w:cs="Arial" w:eastAsia="Arial" w:hAnsi="Arial"/>
                  <w:sz w:val="18"/>
                  <w:szCs w:val="18"/>
                  <w:color w:val="0000FF"/>
                </w:rPr>
                <w:t>Global Deferred Stock Unit Agreement.</w:t>
              </w:r>
              <w:r>
                <w:rPr>
                  <w:rFonts w:ascii="Arial" w:cs="Arial" w:eastAsia="Arial" w:hAnsi="Arial"/>
                  <w:sz w:val="18"/>
                  <w:szCs w:val="18"/>
                  <w:color w:val="000000"/>
                </w:rPr>
                <w:t>+</w:t>
              </w:r>
            </w:hyperlink>
          </w:p>
        </w:tc>
        <w:tc>
          <w:tcPr>
            <w:tcW w:w="20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6"/>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9"/>
          </w:tcPr>
          <w:p>
            <w:pPr>
              <w:spacing w:after="0"/>
              <w:rPr>
                <w:rFonts w:ascii="Arial" w:cs="Arial" w:eastAsia="Arial" w:hAnsi="Arial"/>
                <w:sz w:val="18"/>
                <w:szCs w:val="18"/>
                <w:color w:val="0000FF"/>
              </w:rPr>
            </w:pPr>
            <w:hyperlink w:anchor="page196">
              <w:r>
                <w:rPr>
                  <w:rFonts w:ascii="Arial" w:cs="Arial" w:eastAsia="Arial" w:hAnsi="Arial"/>
                  <w:sz w:val="18"/>
                  <w:szCs w:val="18"/>
                  <w:color w:val="0000FF"/>
                </w:rPr>
                <w:t>Certification of Chief Executive Officer pursuant to Rule 13a-14(a)/15d-14(a) of the Securities Exchange</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96">
              <w:r>
                <w:rPr>
                  <w:rFonts w:ascii="Arial" w:cs="Arial" w:eastAsia="Arial" w:hAnsi="Arial"/>
                  <w:sz w:val="18"/>
                  <w:szCs w:val="18"/>
                  <w:color w:val="0000FF"/>
                </w:rPr>
                <w:t>Act of 1934, as amended.</w:t>
              </w:r>
            </w:hyperlink>
          </w:p>
        </w:tc>
        <w:tc>
          <w:tcPr>
            <w:tcW w:w="260" w:type="dxa"/>
            <w:vAlign w:val="bottom"/>
            <w:gridSpan w:val="6"/>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9"/>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Certification of Chief Financial Officer pursuant to Rule 13a-14(a)/15d-14(a) of the Securities Exchange</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197">
              <w:r>
                <w:rPr>
                  <w:rFonts w:ascii="Arial" w:cs="Arial" w:eastAsia="Arial" w:hAnsi="Arial"/>
                  <w:sz w:val="18"/>
                  <w:szCs w:val="18"/>
                  <w:color w:val="0000FF"/>
                </w:rPr>
                <w:t>Act of 1934, as amended.</w:t>
              </w:r>
            </w:hyperlink>
          </w:p>
        </w:tc>
        <w:tc>
          <w:tcPr>
            <w:tcW w:w="320" w:type="dxa"/>
            <w:vAlign w:val="bottom"/>
            <w:gridSpan w:val="9"/>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700" w:type="dxa"/>
            <w:vAlign w:val="bottom"/>
            <w:gridSpan w:val="11"/>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00" w:type="dxa"/>
            <w:vAlign w:val="bottom"/>
            <w:gridSpan w:val="19"/>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Certifications of Chief Executive Officer and Chief Financial Officer pursuant to 18 U.S.C. 1350, as</w:t>
              </w:r>
            </w:hyperlink>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98">
              <w:r>
                <w:rPr>
                  <w:rFonts w:ascii="Arial" w:cs="Arial" w:eastAsia="Arial" w:hAnsi="Arial"/>
                  <w:sz w:val="18"/>
                  <w:szCs w:val="18"/>
                  <w:color w:val="0000FF"/>
                </w:rPr>
                <w:t>adopted pursuant to Section 906 of the Sarbanes-Oxley Act of 2002.</w:t>
              </w:r>
            </w:hyperlink>
          </w:p>
        </w:tc>
        <w:tc>
          <w:tcPr>
            <w:tcW w:w="700" w:type="dxa"/>
            <w:vAlign w:val="bottom"/>
            <w:gridSpan w:val="11"/>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0" w:lineRule="exact"/>
        <w:rPr>
          <w:sz w:val="20"/>
          <w:szCs w:val="20"/>
          <w:color w:val="auto"/>
        </w:rPr>
      </w:pPr>
    </w:p>
    <w:p>
      <w:pPr>
        <w:ind w:left="1220" w:right="739" w:hanging="1194"/>
        <w:spacing w:after="0" w:line="211"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March 31, 2022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15" w:lineRule="exact"/>
        <w:rPr>
          <w:sz w:val="20"/>
          <w:szCs w:val="20"/>
          <w:color w:val="auto"/>
        </w:rPr>
      </w:pPr>
    </w:p>
    <w:p>
      <w:pPr>
        <w:ind w:left="1220" w:right="979" w:hanging="1194"/>
        <w:spacing w:after="0" w:line="227" w:lineRule="auto"/>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March 31, 2022, formatted in Inline XBRL (included as Exhibit 101).</w:t>
      </w:r>
    </w:p>
    <w:p>
      <w:pPr>
        <w:ind w:left="1220"/>
        <w:spacing w:after="0"/>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2" w:right="1440"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571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26, 2022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382"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20"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181" w:lineRule="exact"/>
        <w:rPr>
          <w:sz w:val="20"/>
          <w:szCs w:val="20"/>
          <w:color w:val="auto"/>
        </w:rPr>
      </w:pPr>
    </w:p>
    <w:p>
      <w:pPr>
        <w:ind w:right="100" w:firstLine="198"/>
        <w:spacing w:after="0" w:line="216"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Optionee</w:t>
      </w:r>
      <w:r>
        <w:rPr>
          <w:rFonts w:ascii="Arial" w:cs="Arial" w:eastAsia="Arial" w:hAnsi="Arial"/>
          <w:sz w:val="19"/>
          <w:szCs w:val="19"/>
          <w:color w:val="auto"/>
        </w:rPr>
        <w:t>”) identified in the award statement provided to the Optionee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under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non-qualified stock options (the “</w:t>
      </w:r>
      <w:r>
        <w:rPr>
          <w:rFonts w:ascii="Arial" w:cs="Arial" w:eastAsia="Arial" w:hAnsi="Arial"/>
          <w:sz w:val="19"/>
          <w:szCs w:val="19"/>
          <w:u w:val="single" w:color="auto"/>
          <w:color w:val="auto"/>
        </w:rPr>
        <w:t>Option</w:t>
      </w:r>
      <w:r>
        <w:rPr>
          <w:rFonts w:ascii="Arial" w:cs="Arial" w:eastAsia="Arial" w:hAnsi="Arial"/>
          <w:sz w:val="19"/>
          <w:szCs w:val="19"/>
          <w:color w:val="auto"/>
        </w:rPr>
        <w:t>”). The Option entitles the Optionee to exercise options for up to the aggregate number of shares set forth in the Award Statement (the “</w:t>
      </w:r>
      <w:r>
        <w:rPr>
          <w:rFonts w:ascii="Arial" w:cs="Arial" w:eastAsia="Arial" w:hAnsi="Arial"/>
          <w:sz w:val="19"/>
          <w:szCs w:val="19"/>
          <w:u w:val="single" w:color="auto"/>
          <w:color w:val="auto"/>
        </w:rPr>
        <w:t>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of the Company’s Common Stock, at the price per share set forth in the Award Statement (the “</w:t>
      </w:r>
      <w:r>
        <w:rPr>
          <w:rFonts w:ascii="Arial" w:cs="Arial" w:eastAsia="Arial" w:hAnsi="Arial"/>
          <w:sz w:val="19"/>
          <w:szCs w:val="19"/>
          <w:u w:val="single" w:color="auto"/>
          <w:color w:val="auto"/>
        </w:rPr>
        <w:t>Grant Price</w:t>
      </w:r>
      <w:r>
        <w:rPr>
          <w:rFonts w:ascii="Arial" w:cs="Arial" w:eastAsia="Arial" w:hAnsi="Arial"/>
          <w:sz w:val="19"/>
          <w:szCs w:val="19"/>
          <w:color w:val="auto"/>
        </w:rPr>
        <w:t>”). Capitalized terms not otherwise defined in this Non-Qualified Global Stock Option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Option is subject to the following terms and conditions (including the country-specific terms set forth in Appendix A to this</w:t>
      </w:r>
    </w:p>
    <w:p>
      <w:pPr>
        <w:spacing w:after="0"/>
        <w:rPr>
          <w:sz w:val="20"/>
          <w:szCs w:val="20"/>
          <w:color w:val="auto"/>
        </w:rPr>
      </w:pPr>
      <w:r>
        <w:rPr>
          <w:rFonts w:ascii="Arial" w:cs="Arial" w:eastAsia="Arial" w:hAnsi="Arial"/>
          <w:sz w:val="20"/>
          <w:szCs w:val="20"/>
          <w:color w:val="auto"/>
        </w:rPr>
        <w:t>Agreement):</w:t>
      </w:r>
    </w:p>
    <w:p>
      <w:pPr>
        <w:spacing w:after="0" w:line="153" w:lineRule="exact"/>
        <w:rPr>
          <w:sz w:val="20"/>
          <w:szCs w:val="20"/>
          <w:color w:val="auto"/>
        </w:rPr>
      </w:pPr>
    </w:p>
    <w:p>
      <w:pPr>
        <w:ind w:right="160" w:firstLine="324"/>
        <w:spacing w:after="0" w:line="226" w:lineRule="auto"/>
        <w:rPr>
          <w:sz w:val="20"/>
          <w:szCs w:val="20"/>
          <w:color w:val="auto"/>
        </w:rPr>
      </w:pPr>
      <w:r>
        <w:rPr>
          <w:rFonts w:ascii="Arial" w:cs="Arial" w:eastAsia="Arial" w:hAnsi="Arial"/>
          <w:sz w:val="19"/>
          <w:szCs w:val="19"/>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155" w:lineRule="exact"/>
        <w:rPr>
          <w:sz w:val="20"/>
          <w:szCs w:val="20"/>
          <w:color w:val="auto"/>
        </w:rPr>
      </w:pPr>
    </w:p>
    <w:p>
      <w:pPr>
        <w:ind w:right="60" w:firstLine="413"/>
        <w:spacing w:after="0" w:line="229"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expressly provided in this Agreement, this Option may not be exercised before the vesting requirements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Requirements</w:t>
      </w:r>
      <w:r>
        <w:rPr>
          <w:rFonts w:ascii="Arial" w:cs="Arial" w:eastAsia="Arial" w:hAnsi="Arial"/>
          <w:sz w:val="20"/>
          <w:szCs w:val="20"/>
          <w:color w:val="auto"/>
        </w:rPr>
        <w:t>”) set forth in the schedule to the Award Statement (the “</w:t>
      </w:r>
      <w:r>
        <w:rPr>
          <w:rFonts w:ascii="Arial" w:cs="Arial" w:eastAsia="Arial" w:hAnsi="Arial"/>
          <w:sz w:val="20"/>
          <w:szCs w:val="20"/>
          <w:u w:val="single" w:color="auto"/>
          <w:color w:val="auto"/>
        </w:rPr>
        <w:t>Schedule</w:t>
      </w:r>
      <w:r>
        <w:rPr>
          <w:rFonts w:ascii="Arial" w:cs="Arial" w:eastAsia="Arial" w:hAnsi="Arial"/>
          <w:sz w:val="20"/>
          <w:szCs w:val="20"/>
          <w:color w:val="auto"/>
        </w:rPr>
        <w:t>”) have been satisfied.</w:t>
      </w:r>
    </w:p>
    <w:p>
      <w:pPr>
        <w:spacing w:after="0" w:line="155" w:lineRule="exact"/>
        <w:rPr>
          <w:rFonts w:ascii="Arial" w:cs="Arial" w:eastAsia="Arial" w:hAnsi="Arial"/>
          <w:sz w:val="20"/>
          <w:szCs w:val="20"/>
          <w:color w:val="auto"/>
        </w:rPr>
      </w:pPr>
    </w:p>
    <w:p>
      <w:pPr>
        <w:jc w:val="both"/>
        <w:ind w:right="260" w:firstLine="413"/>
        <w:spacing w:after="0" w:line="244"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Vesting Upon Termination of Employment</w:t>
      </w:r>
      <w:r>
        <w:rPr>
          <w:rFonts w:ascii="Arial" w:cs="Arial" w:eastAsia="Arial" w:hAnsi="Arial"/>
          <w:sz w:val="18"/>
          <w:szCs w:val="18"/>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51" w:lineRule="exact"/>
        <w:rPr>
          <w:rFonts w:ascii="Arial" w:cs="Arial" w:eastAsia="Arial" w:hAnsi="Arial"/>
          <w:sz w:val="18"/>
          <w:szCs w:val="18"/>
          <w:color w:val="auto"/>
        </w:rPr>
      </w:pPr>
    </w:p>
    <w:p>
      <w:pPr>
        <w:ind w:right="260" w:firstLine="656"/>
        <w:spacing w:after="0" w:line="229" w:lineRule="auto"/>
        <w:tabs>
          <w:tab w:leader="none" w:pos="1115"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Optionee’s death or Disability (as defined below in paragraph 15), then this Option will become immediately exercisable for 100% of the Option Shares identified in the Award Statement; or</w:t>
      </w:r>
    </w:p>
    <w:p>
      <w:pPr>
        <w:spacing w:after="0" w:line="155" w:lineRule="exact"/>
        <w:rPr>
          <w:rFonts w:ascii="Arial" w:cs="Arial" w:eastAsia="Arial" w:hAnsi="Arial"/>
          <w:sz w:val="20"/>
          <w:szCs w:val="20"/>
          <w:color w:val="auto"/>
        </w:rPr>
      </w:pPr>
    </w:p>
    <w:p>
      <w:pPr>
        <w:ind w:right="60" w:firstLine="656"/>
        <w:spacing w:after="0" w:line="221" w:lineRule="auto"/>
        <w:tabs>
          <w:tab w:leader="none" w:pos="1126"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Optionee’s Retirement (as defined below in paragraph 15) occurring at least ninety (90) days after the date of grant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155" w:lineRule="exact"/>
        <w:rPr>
          <w:rFonts w:ascii="Arial" w:cs="Arial" w:eastAsia="Arial" w:hAnsi="Arial"/>
          <w:sz w:val="19"/>
          <w:szCs w:val="19"/>
          <w:color w:val="auto"/>
        </w:rPr>
      </w:pPr>
    </w:p>
    <w:p>
      <w:pPr>
        <w:ind w:right="80" w:firstLine="413"/>
        <w:spacing w:after="0" w:line="21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Exercisability Upon Termination of Employment from the Mondelēz Group</w:t>
      </w:r>
      <w:r>
        <w:rPr>
          <w:rFonts w:ascii="Arial" w:cs="Arial" w:eastAsia="Arial" w:hAnsi="Arial"/>
          <w:sz w:val="20"/>
          <w:szCs w:val="20"/>
          <w:color w:val="auto"/>
        </w:rPr>
        <w:t>. During the period commencing on the first date that the Vesting Requirements are satisfied (or, such earlier date determined in accordance with paragraph 2) until the close of the market on the expiration date set forth in the Schedule (“</w:t>
      </w:r>
      <w:r>
        <w:rPr>
          <w:rFonts w:ascii="Arial" w:cs="Arial" w:eastAsia="Arial" w:hAnsi="Arial"/>
          <w:sz w:val="20"/>
          <w:szCs w:val="20"/>
          <w:u w:val="single" w:color="auto"/>
          <w:color w:val="auto"/>
        </w:rPr>
        <w:t>Expiration Date</w:t>
      </w:r>
      <w:r>
        <w:rPr>
          <w:rFonts w:ascii="Arial" w:cs="Arial" w:eastAsia="Arial" w:hAnsi="Arial"/>
          <w:sz w:val="20"/>
          <w:szCs w:val="20"/>
          <w:color w:val="auto"/>
        </w:rPr>
        <w:t>”) (or if the market is closed on such date, the close of the market on the last date the market is open prior to the Expiration Date), this Option may be exercised in whole or in part with respect to such Option Shares, subject to the following provisions:</w:t>
      </w:r>
    </w:p>
    <w:p>
      <w:pPr>
        <w:spacing w:after="0" w:line="154" w:lineRule="exact"/>
        <w:rPr>
          <w:rFonts w:ascii="Arial" w:cs="Arial" w:eastAsia="Arial" w:hAnsi="Arial"/>
          <w:sz w:val="20"/>
          <w:szCs w:val="20"/>
          <w:color w:val="auto"/>
        </w:rPr>
      </w:pPr>
    </w:p>
    <w:p>
      <w:pPr>
        <w:ind w:right="580" w:firstLine="656"/>
        <w:spacing w:after="0" w:line="229" w:lineRule="auto"/>
        <w:tabs>
          <w:tab w:leader="none" w:pos="1065" w:val="left"/>
        </w:tabs>
        <w:numPr>
          <w:ilvl w:val="1"/>
          <w:numId w:val="39"/>
        </w:numPr>
        <w:rPr>
          <w:rFonts w:ascii="Arial" w:cs="Arial" w:eastAsia="Arial" w:hAnsi="Arial"/>
          <w:sz w:val="20"/>
          <w:szCs w:val="20"/>
          <w:color w:val="auto"/>
        </w:rPr>
      </w:pPr>
      <w:r>
        <w:rPr>
          <w:rFonts w:ascii="Arial" w:cs="Arial" w:eastAsia="Arial" w:hAnsi="Arial"/>
          <w:sz w:val="20"/>
          <w:szCs w:val="20"/>
          <w:color w:val="auto"/>
        </w:rPr>
        <w:t>In the event that the Optionee’s employment terminates by reason of Retirement, death or Disability, such Option may be exercised on or prior to the Expiration Date;</w:t>
      </w:r>
    </w:p>
    <w:p>
      <w:pPr>
        <w:spacing w:after="0" w:line="155" w:lineRule="exact"/>
        <w:rPr>
          <w:rFonts w:ascii="Arial" w:cs="Arial" w:eastAsia="Arial" w:hAnsi="Arial"/>
          <w:sz w:val="20"/>
          <w:szCs w:val="20"/>
          <w:color w:val="auto"/>
        </w:rPr>
      </w:pPr>
    </w:p>
    <w:p>
      <w:pPr>
        <w:ind w:right="380" w:firstLine="656"/>
        <w:spacing w:after="0" w:line="229" w:lineRule="auto"/>
        <w:tabs>
          <w:tab w:leader="none" w:pos="1077" w:val="left"/>
        </w:tabs>
        <w:numPr>
          <w:ilvl w:val="1"/>
          <w:numId w:val="39"/>
        </w:numPr>
        <w:rPr>
          <w:rFonts w:ascii="Arial" w:cs="Arial" w:eastAsia="Arial" w:hAnsi="Arial"/>
          <w:sz w:val="20"/>
          <w:szCs w:val="20"/>
          <w:color w:val="auto"/>
        </w:rPr>
      </w:pPr>
      <w:r>
        <w:rPr>
          <w:rFonts w:ascii="Arial" w:cs="Arial" w:eastAsia="Arial" w:hAnsi="Arial"/>
          <w:sz w:val="20"/>
          <w:szCs w:val="20"/>
          <w:color w:val="auto"/>
        </w:rPr>
        <w:t>If employment is terminated by the Optionee (other than by Retirement, death or Disability), such Option may be exercised until the close of the market 30 days from the effective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4" w:right="339" w:bottom="1440" w:gutter="0" w:footer="0" w:header="0"/>
        </w:sectPr>
      </w:pPr>
    </w:p>
    <w:bookmarkStart w:id="61" w:name="page62"/>
    <w:bookmarkEnd w:id="61"/>
    <w:p>
      <w:pPr>
        <w:ind w:right="120"/>
        <w:spacing w:after="0" w:line="229" w:lineRule="auto"/>
        <w:rPr>
          <w:sz w:val="20"/>
          <w:szCs w:val="20"/>
          <w:color w:val="auto"/>
        </w:rPr>
      </w:pPr>
      <w:r>
        <w:rPr>
          <w:rFonts w:ascii="Arial" w:cs="Arial" w:eastAsia="Arial" w:hAnsi="Arial"/>
          <w:sz w:val="20"/>
          <w:szCs w:val="20"/>
          <w:color w:val="auto"/>
        </w:rPr>
        <w:t>termination (the “</w:t>
      </w:r>
      <w:r>
        <w:rPr>
          <w:rFonts w:ascii="Arial" w:cs="Arial" w:eastAsia="Arial" w:hAnsi="Arial"/>
          <w:sz w:val="20"/>
          <w:szCs w:val="20"/>
          <w:u w:val="single" w:color="auto"/>
          <w:color w:val="auto"/>
        </w:rPr>
        <w:t>30-Day Period</w:t>
      </w:r>
      <w:r>
        <w:rPr>
          <w:rFonts w:ascii="Arial" w:cs="Arial" w:eastAsia="Arial" w:hAnsi="Arial"/>
          <w:sz w:val="20"/>
          <w:szCs w:val="20"/>
          <w:color w:val="auto"/>
        </w:rPr>
        <w:t>”) (or if the market is closed on such date, the close of the market on the last date the market is open prior to the expiration of the 30-Day Period);</w:t>
      </w:r>
    </w:p>
    <w:p>
      <w:pPr>
        <w:spacing w:after="0" w:line="155" w:lineRule="exact"/>
        <w:rPr>
          <w:sz w:val="20"/>
          <w:szCs w:val="20"/>
          <w:color w:val="auto"/>
        </w:rPr>
      </w:pPr>
    </w:p>
    <w:p>
      <w:pPr>
        <w:ind w:right="260" w:firstLine="656"/>
        <w:spacing w:after="0" w:line="231" w:lineRule="auto"/>
        <w:tabs>
          <w:tab w:leader="none" w:pos="10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Arial" w:cs="Arial" w:eastAsia="Arial" w:hAnsi="Arial"/>
          <w:sz w:val="18"/>
          <w:szCs w:val="18"/>
          <w:u w:val="single" w:color="auto"/>
          <w:color w:val="auto"/>
        </w:rPr>
        <w:t>12-Month Period</w:t>
      </w:r>
      <w:r>
        <w:rPr>
          <w:rFonts w:ascii="Arial" w:cs="Arial" w:eastAsia="Arial" w:hAnsi="Arial"/>
          <w:sz w:val="18"/>
          <w:szCs w:val="18"/>
          <w:color w:val="auto"/>
        </w:rPr>
        <w:t>”) (or if the market is closed on such date, the close of the market on the last date the market is open prior to the expiration of the 12-Month Period); and</w:t>
      </w:r>
    </w:p>
    <w:p>
      <w:pPr>
        <w:spacing w:after="0" w:line="152"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Optionee’s employment is involuntarily suspended or terminated by the Mondelēz Group for Cause, the Option shall be</w:t>
      </w:r>
    </w:p>
    <w:p>
      <w:pPr>
        <w:spacing w:after="0"/>
        <w:rPr>
          <w:rFonts w:ascii="Arial" w:cs="Arial" w:eastAsia="Arial" w:hAnsi="Arial"/>
          <w:sz w:val="18"/>
          <w:szCs w:val="18"/>
          <w:color w:val="auto"/>
        </w:rPr>
      </w:pPr>
      <w:r>
        <w:rPr>
          <w:rFonts w:ascii="Arial" w:cs="Arial" w:eastAsia="Arial" w:hAnsi="Arial"/>
          <w:sz w:val="20"/>
          <w:szCs w:val="20"/>
          <w:color w:val="auto"/>
        </w:rPr>
        <w:t>forfeited.</w:t>
      </w:r>
    </w:p>
    <w:p>
      <w:pPr>
        <w:spacing w:after="0" w:line="159" w:lineRule="exact"/>
        <w:rPr>
          <w:sz w:val="20"/>
          <w:szCs w:val="20"/>
          <w:color w:val="auto"/>
        </w:rPr>
      </w:pPr>
    </w:p>
    <w:p>
      <w:pPr>
        <w:ind w:firstLine="396"/>
        <w:spacing w:after="0" w:line="225" w:lineRule="auto"/>
        <w:rPr>
          <w:sz w:val="20"/>
          <w:szCs w:val="20"/>
          <w:color w:val="auto"/>
        </w:rPr>
      </w:pPr>
      <w:r>
        <w:rPr>
          <w:rFonts w:ascii="Arial" w:cs="Arial" w:eastAsia="Arial" w:hAnsi="Arial"/>
          <w:sz w:val="18"/>
          <w:szCs w:val="18"/>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Arial" w:cs="Arial" w:eastAsia="Arial" w:hAnsi="Arial"/>
          <w:sz w:val="18"/>
          <w:szCs w:val="18"/>
          <w:u w:val="single" w:color="auto"/>
          <w:color w:val="auto"/>
        </w:rPr>
        <w:t>Exchange</w:t>
      </w:r>
      <w:r>
        <w:rPr>
          <w:rFonts w:ascii="Arial" w:cs="Arial" w:eastAsia="Arial" w:hAnsi="Arial"/>
          <w:sz w:val="18"/>
          <w:szCs w:val="18"/>
          <w:color w:val="auto"/>
        </w:rPr>
        <w:t>”) is open. Accordingly, if the Expiration Date (or the expiration of the 30-Day Period and/or the 12-Month Period) is a day the Exchange is closed, the Expiration Date (or the expiration of the 30-Day Period and/or the 12-Month Period) shall be the immediately preceding day on which the Exchange is open.</w:t>
      </w:r>
    </w:p>
    <w:p>
      <w:pPr>
        <w:spacing w:after="0" w:line="155" w:lineRule="exact"/>
        <w:rPr>
          <w:sz w:val="20"/>
          <w:szCs w:val="20"/>
          <w:color w:val="auto"/>
        </w:rPr>
      </w:pPr>
    </w:p>
    <w:p>
      <w:pPr>
        <w:ind w:right="160" w:firstLine="413"/>
        <w:spacing w:after="0" w:line="213" w:lineRule="auto"/>
        <w:tabs>
          <w:tab w:leader="none" w:pos="64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Exercise of Option and Withholding Taxes</w:t>
      </w:r>
      <w:r>
        <w:rPr>
          <w:rFonts w:ascii="Arial" w:cs="Arial" w:eastAsia="Arial" w:hAnsi="Arial"/>
          <w:sz w:val="20"/>
          <w:szCs w:val="20"/>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to the extent permitted by applicable law, by cash, check or cash equivalent;</w:t>
      </w:r>
    </w:p>
    <w:p>
      <w:pPr>
        <w:spacing w:after="0" w:line="175" w:lineRule="exact"/>
        <w:rPr>
          <w:rFonts w:ascii="Arial" w:cs="Arial" w:eastAsia="Arial" w:hAnsi="Arial"/>
          <w:sz w:val="20"/>
          <w:szCs w:val="20"/>
          <w:color w:val="auto"/>
        </w:rPr>
      </w:pPr>
    </w:p>
    <w:p>
      <w:pPr>
        <w:ind w:left="1300" w:right="600" w:hanging="644"/>
        <w:spacing w:after="0" w:line="229" w:lineRule="auto"/>
        <w:tabs>
          <w:tab w:leader="none" w:pos="1288" w:val="left"/>
        </w:tabs>
        <w:numPr>
          <w:ilvl w:val="1"/>
          <w:numId w:val="41"/>
        </w:numPr>
        <w:rPr>
          <w:rFonts w:ascii="Arial" w:cs="Arial" w:eastAsia="Arial" w:hAnsi="Arial"/>
          <w:sz w:val="20"/>
          <w:szCs w:val="20"/>
          <w:color w:val="auto"/>
        </w:rPr>
      </w:pPr>
      <w:r>
        <w:rPr>
          <w:rFonts w:ascii="Arial" w:cs="Arial" w:eastAsia="Arial" w:hAnsi="Arial"/>
          <w:sz w:val="20"/>
          <w:szCs w:val="20"/>
          <w:color w:val="auto"/>
        </w:rPr>
        <w:t>consideration received by the Company from a cashless exercise through a licensed securities broker acceptable to the Company;</w:t>
      </w:r>
    </w:p>
    <w:p>
      <w:pPr>
        <w:spacing w:after="0" w:line="155" w:lineRule="exact"/>
        <w:rPr>
          <w:rFonts w:ascii="Arial" w:cs="Arial" w:eastAsia="Arial" w:hAnsi="Arial"/>
          <w:sz w:val="20"/>
          <w:szCs w:val="20"/>
          <w:color w:val="auto"/>
        </w:rPr>
      </w:pPr>
    </w:p>
    <w:p>
      <w:pPr>
        <w:ind w:left="1300" w:right="420" w:hanging="644"/>
        <w:spacing w:after="0" w:line="229" w:lineRule="auto"/>
        <w:tabs>
          <w:tab w:leader="none" w:pos="1290" w:val="left"/>
        </w:tabs>
        <w:numPr>
          <w:ilvl w:val="1"/>
          <w:numId w:val="41"/>
        </w:numPr>
        <w:rPr>
          <w:rFonts w:ascii="Arial" w:cs="Arial" w:eastAsia="Arial" w:hAnsi="Arial"/>
          <w:sz w:val="20"/>
          <w:szCs w:val="20"/>
          <w:color w:val="auto"/>
        </w:rPr>
      </w:pPr>
      <w:r>
        <w:rPr>
          <w:rFonts w:ascii="Arial" w:cs="Arial" w:eastAsia="Arial" w:hAnsi="Arial"/>
          <w:sz w:val="20"/>
          <w:szCs w:val="20"/>
          <w:color w:val="auto"/>
        </w:rPr>
        <w:t>if the Optionee is a U.S. taxpayer or if permitted by the Committee, by surrender of shares of Common Stock previously owned by the Optionee which meet the conditions established by the Committee; or</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other methods approved by the Committee and permitted by applicable laws.</w:t>
      </w:r>
    </w:p>
    <w:p>
      <w:pPr>
        <w:spacing w:after="0" w:line="162"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The Optionee acknowledges that, regardless of any action taken by the Company or, if different, the Optionee’s employer (the</w:t>
      </w:r>
    </w:p>
    <w:p>
      <w:pPr>
        <w:ind w:right="60"/>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05" w:right="339" w:bottom="1440" w:gutter="0" w:footer="0" w:header="0"/>
        </w:sectPr>
      </w:pPr>
    </w:p>
    <w:bookmarkStart w:id="62" w:name="page63"/>
    <w:bookmarkEnd w:id="62"/>
    <w:p>
      <w:pPr>
        <w:ind w:right="100"/>
        <w:spacing w:after="0" w:line="233" w:lineRule="auto"/>
        <w:rPr>
          <w:sz w:val="20"/>
          <w:szCs w:val="20"/>
          <w:color w:val="auto"/>
        </w:rPr>
      </w:pPr>
      <w:r>
        <w:rPr>
          <w:rFonts w:ascii="Arial" w:cs="Arial" w:eastAsia="Arial" w:hAnsi="Arial"/>
          <w:sz w:val="18"/>
          <w:szCs w:val="18"/>
          <w:color w:val="auto"/>
        </w:rPr>
        <w:t>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spacing w:after="0" w:line="156" w:lineRule="exact"/>
        <w:rPr>
          <w:sz w:val="20"/>
          <w:szCs w:val="20"/>
          <w:color w:val="auto"/>
        </w:rPr>
      </w:pPr>
    </w:p>
    <w:p>
      <w:pPr>
        <w:ind w:right="200" w:firstLine="194"/>
        <w:spacing w:after="0" w:line="233" w:lineRule="auto"/>
        <w:rPr>
          <w:sz w:val="20"/>
          <w:szCs w:val="20"/>
          <w:color w:val="auto"/>
        </w:rPr>
      </w:pPr>
      <w:r>
        <w:rPr>
          <w:rFonts w:ascii="Arial" w:cs="Arial" w:eastAsia="Arial" w:hAnsi="Arial"/>
          <w:sz w:val="18"/>
          <w:szCs w:val="18"/>
          <w:color w:val="auto"/>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56" w:lineRule="exact"/>
        <w:rPr>
          <w:sz w:val="20"/>
          <w:szCs w:val="20"/>
          <w:color w:val="auto"/>
        </w:rPr>
      </w:pPr>
    </w:p>
    <w:p>
      <w:pPr>
        <w:ind w:right="100" w:firstLine="198"/>
        <w:spacing w:after="0" w:line="225" w:lineRule="auto"/>
        <w:rPr>
          <w:sz w:val="20"/>
          <w:szCs w:val="20"/>
          <w:color w:val="auto"/>
        </w:rPr>
      </w:pPr>
      <w:r>
        <w:rPr>
          <w:rFonts w:ascii="Arial" w:cs="Arial" w:eastAsia="Arial" w:hAnsi="Arial"/>
          <w:sz w:val="18"/>
          <w:szCs w:val="18"/>
          <w:color w:val="auto"/>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spacing w:after="0" w:line="155"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 refund of any over-withheld amount in cash and will have no entitlement to the equivalent shares of Common Stock or, if not refunded, the Optionee may be able to seek a refund from the applicable tax authorities. In the event of under-withholding, the Optionee may be required to pay any additional Tax-Related Items directly to the applicable tax authority or to the Company and/or the Employer.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spacing w:after="0" w:line="146" w:lineRule="exact"/>
        <w:rPr>
          <w:sz w:val="20"/>
          <w:szCs w:val="20"/>
          <w:color w:val="auto"/>
        </w:rPr>
      </w:pPr>
    </w:p>
    <w:p>
      <w:pPr>
        <w:ind w:right="280" w:firstLine="413"/>
        <w:spacing w:after="0" w:line="218"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Cash-Out of Option</w:t>
      </w:r>
      <w:r>
        <w:rPr>
          <w:rFonts w:ascii="Arial" w:cs="Arial" w:eastAsia="Arial" w:hAnsi="Arial"/>
          <w:sz w:val="20"/>
          <w:szCs w:val="20"/>
          <w:color w:val="auto"/>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spacing w:after="0" w:line="156" w:lineRule="exact"/>
        <w:rPr>
          <w:rFonts w:ascii="Arial" w:cs="Arial" w:eastAsia="Arial" w:hAnsi="Arial"/>
          <w:sz w:val="20"/>
          <w:szCs w:val="20"/>
          <w:color w:val="auto"/>
        </w:rPr>
      </w:pPr>
    </w:p>
    <w:p>
      <w:pPr>
        <w:ind w:left="660" w:hanging="247"/>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right="120" w:firstLine="656"/>
        <w:spacing w:after="0" w:line="218" w:lineRule="auto"/>
        <w:tabs>
          <w:tab w:leader="none" w:pos="1286" w:val="left"/>
        </w:tabs>
        <w:numPr>
          <w:ilvl w:val="1"/>
          <w:numId w:val="42"/>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05" w:right="339" w:bottom="1440" w:gutter="0" w:footer="0" w:header="0"/>
        </w:sectPr>
      </w:pPr>
    </w:p>
    <w:bookmarkStart w:id="63" w:name="page64"/>
    <w:bookmarkEnd w:id="63"/>
    <w:p>
      <w:pPr>
        <w:ind w:left="1300" w:right="60" w:hanging="320"/>
        <w:spacing w:after="0" w:line="225"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Company’s chief human resources officer,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155" w:lineRule="exact"/>
        <w:rPr>
          <w:rFonts w:ascii="Arial" w:cs="Arial" w:eastAsia="Arial" w:hAnsi="Arial"/>
          <w:sz w:val="18"/>
          <w:szCs w:val="18"/>
          <w:color w:val="auto"/>
        </w:rPr>
      </w:pPr>
    </w:p>
    <w:p>
      <w:pPr>
        <w:ind w:left="1300" w:right="320" w:hanging="320"/>
        <w:spacing w:after="0" w:line="213" w:lineRule="auto"/>
        <w:tabs>
          <w:tab w:leader="none" w:pos="1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Optionee,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55" w:lineRule="exact"/>
        <w:rPr>
          <w:rFonts w:ascii="Arial" w:cs="Arial" w:eastAsia="Arial" w:hAnsi="Arial"/>
          <w:sz w:val="20"/>
          <w:szCs w:val="20"/>
          <w:color w:val="auto"/>
        </w:rPr>
      </w:pPr>
    </w:p>
    <w:p>
      <w:pPr>
        <w:ind w:left="1300" w:right="20" w:hanging="320"/>
        <w:spacing w:after="0" w:line="233"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56"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55" w:lineRule="exact"/>
        <w:rPr>
          <w:sz w:val="20"/>
          <w:szCs w:val="20"/>
          <w:color w:val="auto"/>
        </w:rPr>
      </w:pPr>
    </w:p>
    <w:p>
      <w:pPr>
        <w:jc w:val="both"/>
        <w:ind w:right="40" w:firstLine="656"/>
        <w:spacing w:after="0" w:line="224" w:lineRule="auto"/>
        <w:tabs>
          <w:tab w:leader="none" w:pos="1284"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w:t>
      </w:r>
    </w:p>
    <w:p>
      <w:pPr>
        <w:spacing w:after="0" w:line="156" w:lineRule="exact"/>
        <w:rPr>
          <w:rFonts w:ascii="Arial" w:cs="Arial" w:eastAsia="Arial" w:hAnsi="Arial"/>
          <w:sz w:val="19"/>
          <w:szCs w:val="19"/>
          <w:color w:val="auto"/>
        </w:rPr>
      </w:pPr>
    </w:p>
    <w:p>
      <w:pPr>
        <w:ind w:left="1300" w:hanging="320"/>
        <w:spacing w:after="0"/>
        <w:tabs>
          <w:tab w:leader="none" w:pos="13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all unvested Grants (including any unvested portion of the Option) shall be immediately forfeited;</w:t>
      </w:r>
    </w:p>
    <w:p>
      <w:pPr>
        <w:spacing w:after="0" w:line="175" w:lineRule="exact"/>
        <w:rPr>
          <w:rFonts w:ascii="Arial" w:cs="Arial" w:eastAsia="Arial" w:hAnsi="Arial"/>
          <w:sz w:val="20"/>
          <w:szCs w:val="20"/>
          <w:color w:val="auto"/>
        </w:rPr>
      </w:pPr>
    </w:p>
    <w:p>
      <w:pPr>
        <w:jc w:val="both"/>
        <w:ind w:left="1300" w:right="60" w:hanging="320"/>
        <w:spacing w:after="0" w:line="24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80"/>
          </w:cols>
          <w:pgMar w:left="320" w:top="1405" w:right="399" w:bottom="1440" w:gutter="0" w:footer="0" w:header="0"/>
        </w:sectPr>
      </w:pPr>
    </w:p>
    <w:bookmarkStart w:id="64" w:name="page65"/>
    <w:bookmarkEnd w:id="64"/>
    <w:p>
      <w:pPr>
        <w:ind w:left="1120" w:right="40" w:hanging="320"/>
        <w:spacing w:after="0" w:line="215" w:lineRule="auto"/>
        <w:tabs>
          <w:tab w:leader="none" w:pos="112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spacing w:after="0" w:line="155" w:lineRule="exact"/>
        <w:rPr>
          <w:rFonts w:ascii="Arial" w:cs="Arial" w:eastAsia="Arial" w:hAnsi="Arial"/>
          <w:sz w:val="19"/>
          <w:szCs w:val="19"/>
          <w:color w:val="auto"/>
        </w:rPr>
      </w:pPr>
    </w:p>
    <w:p>
      <w:pPr>
        <w:ind w:left="1120" w:right="20" w:hanging="320"/>
        <w:spacing w:after="0" w:line="218" w:lineRule="auto"/>
        <w:tabs>
          <w:tab w:leader="none" w:pos="112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159" w:lineRule="exact"/>
        <w:rPr>
          <w:rFonts w:ascii="Arial" w:cs="Arial" w:eastAsia="Arial" w:hAnsi="Arial"/>
          <w:sz w:val="19"/>
          <w:szCs w:val="19"/>
          <w:color w:val="auto"/>
        </w:rPr>
      </w:pPr>
    </w:p>
    <w:p>
      <w:pPr>
        <w:jc w:val="both"/>
        <w:ind w:left="-180" w:right="20" w:firstLine="656"/>
        <w:spacing w:after="0" w:line="224" w:lineRule="auto"/>
        <w:tabs>
          <w:tab w:leader="none" w:pos="1106"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156" w:lineRule="exact"/>
        <w:rPr>
          <w:rFonts w:ascii="Arial" w:cs="Arial" w:eastAsia="Arial" w:hAnsi="Arial"/>
          <w:sz w:val="19"/>
          <w:szCs w:val="19"/>
          <w:color w:val="auto"/>
        </w:rPr>
      </w:pPr>
    </w:p>
    <w:p>
      <w:pPr>
        <w:ind w:left="-180" w:right="140" w:firstLine="656"/>
        <w:spacing w:after="0" w:line="227" w:lineRule="auto"/>
        <w:tabs>
          <w:tab w:leader="none" w:pos="11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spacing w:after="0" w:line="155" w:lineRule="exact"/>
        <w:rPr>
          <w:rFonts w:ascii="Arial" w:cs="Arial" w:eastAsia="Arial" w:hAnsi="Arial"/>
          <w:sz w:val="18"/>
          <w:szCs w:val="18"/>
          <w:color w:val="auto"/>
        </w:rPr>
      </w:pPr>
    </w:p>
    <w:p>
      <w:pPr>
        <w:ind w:left="-180" w:firstLine="656"/>
        <w:spacing w:after="0" w:line="214" w:lineRule="auto"/>
        <w:tabs>
          <w:tab w:leader="none" w:pos="110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Optionee is hereby advised in writing to consult with an attorney before entering into the covenants outlined in this Section 6. The Optionee acknowledges that prior to acceptance of this Agreement, the Optionee has been advised by the Company of the Optionee's right to seek independent advice from an attorney of the Optionee's own selection regarding this Agreement, including the restraints imposed upon him or her pursuant to this Section 6. The Optionee acknowledges that they have entered into this Agreement knowingly and voluntarily and with full knowledge and understanding of the provisions of this Agreement after being given the opportunity to consult with counsel. The Optionee further represents that in entering into this Agreement, the Optionee is not relying on any statements or representations made by any of the Company's directors, officers, employees or agents which are not expressly set forth herein, and that the Optionee is relying only upon their own judgment and any advice provided by the Optionee's attorney. The Optionee acknowledges he or she has been provided at minimum 14 calendar days to review the provisions contained herein but may voluntarily waive this period and sign prior to the 14 calendar day period lapsing.</w:t>
      </w:r>
    </w:p>
    <w:p>
      <w:pPr>
        <w:spacing w:after="0" w:line="157" w:lineRule="exact"/>
        <w:rPr>
          <w:rFonts w:ascii="Arial" w:cs="Arial" w:eastAsia="Arial" w:hAnsi="Arial"/>
          <w:sz w:val="19"/>
          <w:szCs w:val="19"/>
          <w:color w:val="auto"/>
        </w:rPr>
      </w:pPr>
    </w:p>
    <w:p>
      <w:pPr>
        <w:ind w:left="-180" w:right="460" w:firstLine="656"/>
        <w:spacing w:after="0" w:line="229" w:lineRule="auto"/>
        <w:tabs>
          <w:tab w:leader="none" w:pos="1111" w:val="left"/>
        </w:tabs>
        <w:numPr>
          <w:ilvl w:val="0"/>
          <w:numId w:val="46"/>
        </w:numPr>
        <w:rPr>
          <w:rFonts w:ascii="Arial" w:cs="Arial" w:eastAsia="Arial" w:hAnsi="Arial"/>
          <w:sz w:val="20"/>
          <w:szCs w:val="20"/>
          <w:color w:val="auto"/>
        </w:rPr>
      </w:pPr>
      <w:r>
        <w:rPr>
          <w:rFonts w:ascii="Arial" w:cs="Arial" w:eastAsia="Arial" w:hAnsi="Arial"/>
          <w:sz w:val="20"/>
          <w:szCs w:val="20"/>
          <w:color w:val="auto"/>
        </w:rPr>
        <w:t>For purposes of this Section 6, the Company and any member of the Mondelēz Group shall be deemed to be third-party beneficiaries with the right to seek enforcement of any of the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40"/>
          </w:cols>
          <w:pgMar w:left="500" w:top="1405" w:right="359" w:bottom="1440" w:gutter="0" w:footer="0" w:header="0"/>
        </w:sectPr>
      </w:pPr>
    </w:p>
    <w:bookmarkStart w:id="65" w:name="page66"/>
    <w:bookmarkEnd w:id="65"/>
    <w:p>
      <w:pPr>
        <w:ind w:right="500"/>
        <w:spacing w:after="0" w:line="229" w:lineRule="auto"/>
        <w:rPr>
          <w:sz w:val="20"/>
          <w:szCs w:val="20"/>
          <w:color w:val="auto"/>
        </w:rPr>
      </w:pPr>
      <w:r>
        <w:rPr>
          <w:rFonts w:ascii="Arial" w:cs="Arial" w:eastAsia="Arial" w:hAnsi="Arial"/>
          <w:sz w:val="20"/>
          <w:szCs w:val="20"/>
          <w:color w:val="auto"/>
        </w:rPr>
        <w:t>of this Section 6. Further, for purposes of this Section 6, references to acting directly or indirectly include acting jointly with or through another person.</w:t>
      </w:r>
    </w:p>
    <w:p>
      <w:pPr>
        <w:spacing w:after="0" w:line="155" w:lineRule="exact"/>
        <w:rPr>
          <w:sz w:val="20"/>
          <w:szCs w:val="20"/>
          <w:color w:val="auto"/>
        </w:rPr>
      </w:pPr>
    </w:p>
    <w:p>
      <w:pPr>
        <w:ind w:right="60" w:firstLine="332"/>
        <w:spacing w:after="0" w:line="216" w:lineRule="auto"/>
        <w:tabs>
          <w:tab w:leader="none" w:pos="648"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Clawback Policy/Forfeiture</w:t>
      </w:r>
      <w:r>
        <w:rPr>
          <w:rFonts w:ascii="Arial" w:cs="Arial" w:eastAsia="Arial" w:hAnsi="Arial"/>
          <w:sz w:val="19"/>
          <w:szCs w:val="19"/>
          <w:color w:val="auto"/>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54" w:lineRule="exact"/>
        <w:rPr>
          <w:rFonts w:ascii="Arial" w:cs="Arial" w:eastAsia="Arial" w:hAnsi="Arial"/>
          <w:sz w:val="19"/>
          <w:szCs w:val="19"/>
          <w:color w:val="auto"/>
        </w:rPr>
      </w:pPr>
    </w:p>
    <w:p>
      <w:pPr>
        <w:jc w:val="both"/>
        <w:ind w:right="100" w:firstLine="332"/>
        <w:spacing w:after="0" w:line="218"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Transfer Restrictions</w:t>
      </w:r>
      <w:r>
        <w:rPr>
          <w:rFonts w:ascii="Arial" w:cs="Arial" w:eastAsia="Arial" w:hAnsi="Arial"/>
          <w:sz w:val="20"/>
          <w:szCs w:val="20"/>
          <w:color w:val="auto"/>
        </w:rPr>
        <w:t>. Unless otherwise required by law, this Option is not transferable or assignable by the Optionee in any manner other than by will or the laws of descent and distribution applicable to the Optionee and is exercisable during the Optionee’s lifetime only by the Optionee.</w:t>
      </w:r>
    </w:p>
    <w:p>
      <w:pPr>
        <w:spacing w:after="0" w:line="156" w:lineRule="exact"/>
        <w:rPr>
          <w:rFonts w:ascii="Arial" w:cs="Arial" w:eastAsia="Arial" w:hAnsi="Arial"/>
          <w:sz w:val="20"/>
          <w:szCs w:val="20"/>
          <w:color w:val="auto"/>
        </w:rPr>
      </w:pPr>
    </w:p>
    <w:p>
      <w:pPr>
        <w:ind w:right="100" w:firstLine="332"/>
        <w:spacing w:after="0" w:line="258" w:lineRule="auto"/>
        <w:tabs>
          <w:tab w:leader="none" w:pos="69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w:t>
      </w:r>
    </w:p>
    <w:p>
      <w:pPr>
        <w:spacing w:after="0" w:line="145" w:lineRule="exact"/>
        <w:rPr>
          <w:rFonts w:ascii="Arial" w:cs="Arial" w:eastAsia="Arial" w:hAnsi="Arial"/>
          <w:sz w:val="16"/>
          <w:szCs w:val="16"/>
          <w:color w:val="auto"/>
        </w:rPr>
      </w:pPr>
    </w:p>
    <w:p>
      <w:pPr>
        <w:ind w:firstLine="332"/>
        <w:spacing w:after="0" w:line="233" w:lineRule="auto"/>
        <w:tabs>
          <w:tab w:leader="none" w:pos="63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56" w:lineRule="exact"/>
        <w:rPr>
          <w:rFonts w:ascii="Arial" w:cs="Arial" w:eastAsia="Arial" w:hAnsi="Arial"/>
          <w:sz w:val="18"/>
          <w:szCs w:val="18"/>
          <w:color w:val="auto"/>
        </w:rPr>
      </w:pPr>
    </w:p>
    <w:p>
      <w:pPr>
        <w:ind w:right="80" w:firstLine="332"/>
        <w:spacing w:after="0" w:line="225" w:lineRule="auto"/>
        <w:tabs>
          <w:tab w:leader="none" w:pos="63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60" w:lineRule="exact"/>
        <w:rPr>
          <w:rFonts w:ascii="Arial" w:cs="Arial" w:eastAsia="Arial" w:hAnsi="Arial"/>
          <w:sz w:val="18"/>
          <w:szCs w:val="18"/>
          <w:color w:val="auto"/>
        </w:rPr>
      </w:pPr>
    </w:p>
    <w:p>
      <w:pPr>
        <w:ind w:right="620" w:firstLine="332"/>
        <w:spacing w:after="0" w:line="236" w:lineRule="auto"/>
        <w:tabs>
          <w:tab w:leader="none" w:pos="63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 Confers No Rights to Continued Employment - Nature of the Grant</w:t>
      </w:r>
      <w:r>
        <w:rPr>
          <w:rFonts w:ascii="Arial" w:cs="Arial" w:eastAsia="Arial" w:hAnsi="Arial"/>
          <w:sz w:val="18"/>
          <w:szCs w:val="18"/>
          <w:color w:val="auto"/>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0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Group. The adoption and maintenance of the Plan shall not constitute an inducement to, or condition of, the employment of the Optionee.</w:t>
      </w:r>
    </w:p>
    <w:p>
      <w:pPr>
        <w:spacing w:after="0"/>
        <w:rPr>
          <w:sz w:val="20"/>
          <w:szCs w:val="20"/>
          <w:color w:val="auto"/>
        </w:rPr>
      </w:pPr>
      <w:r>
        <w:rPr>
          <w:rFonts w:ascii="Arial" w:cs="Arial" w:eastAsia="Arial" w:hAnsi="Arial"/>
          <w:sz w:val="20"/>
          <w:szCs w:val="20"/>
          <w:color w:val="auto"/>
        </w:rPr>
        <w:t>Further, the Optionee acknowledges, understands and agrees that:</w:t>
      </w:r>
    </w:p>
    <w:p>
      <w:pPr>
        <w:spacing w:after="0" w:line="159" w:lineRule="exact"/>
        <w:rPr>
          <w:sz w:val="20"/>
          <w:szCs w:val="20"/>
          <w:color w:val="auto"/>
        </w:rPr>
      </w:pPr>
    </w:p>
    <w:p>
      <w:pPr>
        <w:ind w:right="60" w:firstLine="737"/>
        <w:spacing w:after="0" w:line="229" w:lineRule="auto"/>
        <w:tabs>
          <w:tab w:leader="none" w:pos="1286"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55" w:lineRule="exact"/>
        <w:rPr>
          <w:rFonts w:ascii="Arial" w:cs="Arial" w:eastAsia="Arial" w:hAnsi="Arial"/>
          <w:sz w:val="20"/>
          <w:szCs w:val="20"/>
          <w:color w:val="auto"/>
        </w:rPr>
      </w:pPr>
    </w:p>
    <w:p>
      <w:pPr>
        <w:ind w:right="160" w:firstLine="737"/>
        <w:spacing w:after="0" w:line="229" w:lineRule="auto"/>
        <w:tabs>
          <w:tab w:leader="none" w:pos="128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55" w:lineRule="exact"/>
        <w:rPr>
          <w:rFonts w:ascii="Arial" w:cs="Arial" w:eastAsia="Arial" w:hAnsi="Arial"/>
          <w:sz w:val="20"/>
          <w:szCs w:val="20"/>
          <w:color w:val="auto"/>
        </w:rPr>
      </w:pPr>
    </w:p>
    <w:p>
      <w:pPr>
        <w:ind w:left="1300" w:hanging="563"/>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all decisions with respect to future option or other Grants, if any, will be at the sole discretion of the Committee;</w:t>
      </w:r>
    </w:p>
    <w:p>
      <w:pPr>
        <w:spacing w:after="0" w:line="175" w:lineRule="exact"/>
        <w:rPr>
          <w:rFonts w:ascii="Arial" w:cs="Arial" w:eastAsia="Arial" w:hAnsi="Arial"/>
          <w:sz w:val="20"/>
          <w:szCs w:val="20"/>
          <w:color w:val="auto"/>
        </w:rPr>
      </w:pPr>
    </w:p>
    <w:p>
      <w:pPr>
        <w:ind w:left="1300" w:hanging="563"/>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Optionee is voluntarily participating in the Plan;</w:t>
      </w:r>
    </w:p>
    <w:p>
      <w:pPr>
        <w:spacing w:after="0" w:line="175" w:lineRule="exact"/>
        <w:rPr>
          <w:rFonts w:ascii="Arial" w:cs="Arial" w:eastAsia="Arial" w:hAnsi="Arial"/>
          <w:sz w:val="20"/>
          <w:szCs w:val="20"/>
          <w:color w:val="auto"/>
        </w:rPr>
      </w:pPr>
    </w:p>
    <w:p>
      <w:pPr>
        <w:ind w:right="260" w:firstLine="737"/>
        <w:spacing w:after="0" w:line="229" w:lineRule="auto"/>
        <w:tabs>
          <w:tab w:leader="none" w:pos="1286"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Option and the Option Shares subject to the Option, and the income and value of same, are not intended to replace any pension rights or compensation;</w:t>
      </w:r>
    </w:p>
    <w:p>
      <w:pPr>
        <w:spacing w:after="0" w:line="155" w:lineRule="exact"/>
        <w:rPr>
          <w:rFonts w:ascii="Arial" w:cs="Arial" w:eastAsia="Arial" w:hAnsi="Arial"/>
          <w:sz w:val="20"/>
          <w:szCs w:val="20"/>
          <w:color w:val="auto"/>
        </w:rPr>
      </w:pPr>
    </w:p>
    <w:p>
      <w:pPr>
        <w:ind w:firstLine="737"/>
        <w:spacing w:after="0" w:line="289" w:lineRule="auto"/>
        <w:tabs>
          <w:tab w:leader="none" w:pos="1291"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w:t>
      </w:r>
    </w:p>
    <w:p>
      <w:pPr>
        <w:spacing w:after="0" w:line="118" w:lineRule="exact"/>
        <w:rPr>
          <w:rFonts w:ascii="Arial" w:cs="Arial" w:eastAsia="Arial" w:hAnsi="Arial"/>
          <w:sz w:val="16"/>
          <w:szCs w:val="16"/>
          <w:color w:val="auto"/>
        </w:rPr>
      </w:pPr>
    </w:p>
    <w:p>
      <w:pPr>
        <w:ind w:left="1300" w:hanging="563"/>
        <w:spacing w:after="0"/>
        <w:tabs>
          <w:tab w:leader="none" w:pos="13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future value of the underlying shares of Common Stock is unknown, indeterminable and cannot be predicted;</w:t>
      </w:r>
    </w:p>
    <w:p>
      <w:pPr>
        <w:spacing w:after="0" w:line="186" w:lineRule="exact"/>
        <w:rPr>
          <w:rFonts w:ascii="Arial" w:cs="Arial" w:eastAsia="Arial" w:hAnsi="Arial"/>
          <w:sz w:val="19"/>
          <w:szCs w:val="19"/>
          <w:color w:val="auto"/>
        </w:rPr>
      </w:pPr>
    </w:p>
    <w:p>
      <w:pPr>
        <w:ind w:left="1300" w:hanging="563"/>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the underlying shares of Common Stock do not increase in value, the Option will have no value;</w:t>
      </w:r>
    </w:p>
    <w:p>
      <w:pPr>
        <w:spacing w:after="0" w:line="175" w:lineRule="exact"/>
        <w:rPr>
          <w:rFonts w:ascii="Arial" w:cs="Arial" w:eastAsia="Arial" w:hAnsi="Arial"/>
          <w:sz w:val="20"/>
          <w:szCs w:val="20"/>
          <w:color w:val="auto"/>
        </w:rPr>
      </w:pPr>
    </w:p>
    <w:p>
      <w:pPr>
        <w:ind w:right="520" w:firstLine="737"/>
        <w:spacing w:after="0" w:line="229" w:lineRule="auto"/>
        <w:tabs>
          <w:tab w:leader="none" w:pos="129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if the Optionee exercises the Option and obtains shares of Common Stock, the value of those shares of Common Stock acquired upon exercise may increase or decrease in value, even below the Grant Price;</w:t>
      </w:r>
    </w:p>
    <w:p>
      <w:pPr>
        <w:spacing w:after="0" w:line="155" w:lineRule="exact"/>
        <w:rPr>
          <w:rFonts w:ascii="Arial" w:cs="Arial" w:eastAsia="Arial" w:hAnsi="Arial"/>
          <w:sz w:val="20"/>
          <w:szCs w:val="20"/>
          <w:color w:val="auto"/>
        </w:rPr>
      </w:pPr>
    </w:p>
    <w:p>
      <w:pPr>
        <w:ind w:right="180" w:firstLine="737"/>
        <w:spacing w:after="0" w:line="218" w:lineRule="auto"/>
        <w:tabs>
          <w:tab w:leader="none" w:pos="1294" w:val="left"/>
        </w:tabs>
        <w:numPr>
          <w:ilvl w:val="0"/>
          <w:numId w:val="48"/>
        </w:numPr>
        <w:rPr>
          <w:rFonts w:ascii="Arial" w:cs="Arial" w:eastAsia="Arial" w:hAnsi="Arial"/>
          <w:sz w:val="20"/>
          <w:szCs w:val="20"/>
          <w:color w:val="auto"/>
        </w:rPr>
      </w:pPr>
      <w:r>
        <w:rPr>
          <w:rFonts w:ascii="Arial" w:cs="Arial" w:eastAsia="Arial" w:hAnsi="Arial"/>
          <w:sz w:val="20"/>
          <w:szCs w:val="20"/>
          <w:color w:val="auto"/>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156" w:lineRule="exact"/>
        <w:rPr>
          <w:rFonts w:ascii="Arial" w:cs="Arial" w:eastAsia="Arial" w:hAnsi="Arial"/>
          <w:sz w:val="20"/>
          <w:szCs w:val="20"/>
          <w:color w:val="auto"/>
        </w:rPr>
      </w:pPr>
    </w:p>
    <w:p>
      <w:pPr>
        <w:ind w:right="40" w:firstLine="737"/>
        <w:spacing w:after="0" w:line="213" w:lineRule="auto"/>
        <w:tabs>
          <w:tab w:leader="none" w:pos="128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155" w:lineRule="exact"/>
        <w:rPr>
          <w:rFonts w:ascii="Arial" w:cs="Arial" w:eastAsia="Arial" w:hAnsi="Arial"/>
          <w:sz w:val="20"/>
          <w:szCs w:val="20"/>
          <w:color w:val="auto"/>
        </w:rPr>
      </w:pPr>
    </w:p>
    <w:p>
      <w:pPr>
        <w:ind w:right="580" w:firstLine="737"/>
        <w:spacing w:after="0" w:line="229" w:lineRule="auto"/>
        <w:tabs>
          <w:tab w:leader="none" w:pos="129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Option is designated as not constituting an Incentive Stock Option; this Agreement shall be interpreted and treated consistently with such designation;</w:t>
      </w:r>
    </w:p>
    <w:p>
      <w:pPr>
        <w:spacing w:after="0" w:line="155" w:lineRule="exact"/>
        <w:rPr>
          <w:rFonts w:ascii="Arial" w:cs="Arial" w:eastAsia="Arial" w:hAnsi="Arial"/>
          <w:sz w:val="20"/>
          <w:szCs w:val="20"/>
          <w:color w:val="auto"/>
        </w:rPr>
      </w:pPr>
    </w:p>
    <w:p>
      <w:pPr>
        <w:ind w:right="280" w:firstLine="737"/>
        <w:spacing w:after="0" w:line="244" w:lineRule="auto"/>
        <w:tabs>
          <w:tab w:leader="none" w:pos="1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spacing w:after="0" w:line="151" w:lineRule="exact"/>
        <w:rPr>
          <w:rFonts w:ascii="Arial" w:cs="Arial" w:eastAsia="Arial" w:hAnsi="Arial"/>
          <w:sz w:val="18"/>
          <w:szCs w:val="18"/>
          <w:color w:val="auto"/>
        </w:rPr>
      </w:pPr>
    </w:p>
    <w:p>
      <w:pPr>
        <w:ind w:right="700" w:firstLine="737"/>
        <w:spacing w:after="0" w:line="229" w:lineRule="auto"/>
        <w:tabs>
          <w:tab w:leader="none" w:pos="128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Option and the shares of Common Stock subject to the Option, and the income and value of same, are not part of Optionee’s normal or expected compensation or salary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20"/>
          </w:cols>
          <w:pgMar w:left="320" w:top="1403" w:right="359" w:bottom="1440" w:gutter="0" w:footer="0" w:header="0"/>
        </w:sectPr>
      </w:pPr>
    </w:p>
    <w:bookmarkStart w:id="67" w:name="page68"/>
    <w:bookmarkEnd w:id="67"/>
    <w:p>
      <w:pPr>
        <w:ind w:right="200" w:firstLine="737"/>
        <w:spacing w:after="0" w:line="213" w:lineRule="auto"/>
        <w:tabs>
          <w:tab w:leader="none" w:pos="1284" w:val="left"/>
        </w:tabs>
        <w:numPr>
          <w:ilvl w:val="1"/>
          <w:numId w:val="49"/>
        </w:numPr>
        <w:rPr>
          <w:rFonts w:ascii="Arial" w:cs="Arial" w:eastAsia="Arial" w:hAnsi="Arial"/>
          <w:sz w:val="20"/>
          <w:szCs w:val="20"/>
          <w:color w:val="auto"/>
        </w:rPr>
      </w:pPr>
      <w:r>
        <w:rPr>
          <w:rFonts w:ascii="Arial" w:cs="Arial" w:eastAsia="Arial" w:hAnsi="Arial"/>
          <w:sz w:val="20"/>
          <w:szCs w:val="20"/>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155" w:lineRule="exact"/>
        <w:rPr>
          <w:rFonts w:ascii="Arial" w:cs="Arial" w:eastAsia="Arial" w:hAnsi="Arial"/>
          <w:sz w:val="20"/>
          <w:szCs w:val="20"/>
          <w:color w:val="auto"/>
        </w:rPr>
      </w:pPr>
    </w:p>
    <w:p>
      <w:pPr>
        <w:ind w:right="20" w:firstLine="737"/>
        <w:spacing w:after="0" w:line="213" w:lineRule="auto"/>
        <w:tabs>
          <w:tab w:leader="none" w:pos="1284" w:val="left"/>
        </w:tabs>
        <w:numPr>
          <w:ilvl w:val="1"/>
          <w:numId w:val="49"/>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Option resulting from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w:t>
      </w:r>
    </w:p>
    <w:p>
      <w:pPr>
        <w:spacing w:after="0" w:line="155" w:lineRule="exact"/>
        <w:rPr>
          <w:rFonts w:ascii="Arial" w:cs="Arial" w:eastAsia="Arial" w:hAnsi="Arial"/>
          <w:sz w:val="20"/>
          <w:szCs w:val="20"/>
          <w:color w:val="auto"/>
        </w:rPr>
      </w:pPr>
    </w:p>
    <w:p>
      <w:pPr>
        <w:ind w:right="20" w:firstLine="332"/>
        <w:spacing w:after="0" w:line="289" w:lineRule="auto"/>
        <w:tabs>
          <w:tab w:leader="none" w:pos="639"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the Optionee’s participation in the Plan.</w:t>
      </w:r>
    </w:p>
    <w:p>
      <w:pPr>
        <w:spacing w:after="0" w:line="118" w:lineRule="exact"/>
        <w:rPr>
          <w:sz w:val="20"/>
          <w:szCs w:val="20"/>
          <w:color w:val="auto"/>
        </w:rPr>
      </w:pPr>
    </w:p>
    <w:p>
      <w:pPr>
        <w:ind w:right="80" w:firstLine="648"/>
        <w:spacing w:after="0" w:line="218" w:lineRule="auto"/>
        <w:rPr>
          <w:sz w:val="20"/>
          <w:szCs w:val="20"/>
          <w:color w:val="auto"/>
        </w:rPr>
      </w:pPr>
      <w:r>
        <w:rPr>
          <w:rFonts w:ascii="Arial" w:cs="Arial" w:eastAsia="Arial" w:hAnsi="Arial"/>
          <w:sz w:val="19"/>
          <w:szCs w:val="19"/>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spacing w:after="0" w:line="159"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b w:val="1"/>
          <w:bCs w:val="1"/>
          <w:i w:val="1"/>
          <w:iCs w:val="1"/>
          <w:color w:val="auto"/>
        </w:rPr>
        <w:t>The Optionee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20"/>
          </w:cols>
          <w:pgMar w:left="320" w:top="1405" w:right="359" w:bottom="1440" w:gutter="0" w:footer="0" w:header="0"/>
        </w:sectPr>
      </w:pPr>
    </w:p>
    <w:bookmarkStart w:id="68" w:name="page69"/>
    <w:bookmarkEnd w:id="68"/>
    <w:p>
      <w:pPr>
        <w:ind w:firstLine="648"/>
        <w:spacing w:after="0" w:line="233" w:lineRule="auto"/>
        <w:rPr>
          <w:sz w:val="20"/>
          <w:szCs w:val="20"/>
          <w:color w:val="auto"/>
        </w:rPr>
      </w:pPr>
      <w:r>
        <w:rPr>
          <w:rFonts w:ascii="Arial" w:cs="Arial" w:eastAsia="Arial" w:hAnsi="Arial"/>
          <w:sz w:val="18"/>
          <w:szCs w:val="18"/>
          <w:b w:val="1"/>
          <w:bCs w:val="1"/>
          <w:i w:val="1"/>
          <w:iCs w:val="1"/>
          <w:color w:val="auto"/>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spacing w:after="0" w:line="156" w:lineRule="exact"/>
        <w:rPr>
          <w:sz w:val="20"/>
          <w:szCs w:val="20"/>
          <w:color w:val="auto"/>
        </w:rPr>
      </w:pPr>
    </w:p>
    <w:p>
      <w:pPr>
        <w:ind w:firstLine="251"/>
        <w:spacing w:after="0" w:line="231" w:lineRule="auto"/>
        <w:tabs>
          <w:tab w:leader="none" w:pos="63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154" w:lineRule="exact"/>
        <w:rPr>
          <w:rFonts w:ascii="Arial" w:cs="Arial" w:eastAsia="Arial" w:hAnsi="Arial"/>
          <w:sz w:val="18"/>
          <w:szCs w:val="18"/>
          <w:color w:val="auto"/>
        </w:rPr>
      </w:pPr>
    </w:p>
    <w:p>
      <w:pPr>
        <w:ind w:firstLine="251"/>
        <w:spacing w:after="0" w:line="221" w:lineRule="auto"/>
        <w:tabs>
          <w:tab w:leader="none" w:pos="639"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Miscellaneous Definitions</w:t>
      </w:r>
      <w:r>
        <w:rPr>
          <w:rFonts w:ascii="Arial" w:cs="Arial" w:eastAsia="Arial" w:hAnsi="Arial"/>
          <w:sz w:val="19"/>
          <w:szCs w:val="19"/>
          <w:color w:val="auto"/>
        </w:rPr>
        <w:t>. 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the termination of employment on or after either (i) the date the Optionee is age 55 or older with at least ten (10) or more years of active continuous employment with the Mondelēz Group or (ii) the date the Optionee is age 65 or older with at least five (5) or more years of active continuous employment with the Mondelēz Group.</w:t>
      </w:r>
    </w:p>
    <w:p>
      <w:pPr>
        <w:spacing w:after="0" w:line="155" w:lineRule="exact"/>
        <w:rPr>
          <w:sz w:val="20"/>
          <w:szCs w:val="20"/>
          <w:color w:val="auto"/>
        </w:rPr>
      </w:pPr>
    </w:p>
    <w:p>
      <w:pPr>
        <w:ind w:right="60"/>
        <w:spacing w:after="0" w:line="210"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155" w:lineRule="exact"/>
        <w:rPr>
          <w:sz w:val="20"/>
          <w:szCs w:val="20"/>
          <w:color w:val="auto"/>
        </w:rPr>
      </w:pPr>
    </w:p>
    <w:p>
      <w:pPr>
        <w:ind w:right="200" w:firstLine="251"/>
        <w:spacing w:after="0" w:line="213" w:lineRule="auto"/>
        <w:tabs>
          <w:tab w:leader="none" w:pos="639"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w:t>
      </w:r>
    </w:p>
    <w:p>
      <w:pPr>
        <w:spacing w:after="0" w:line="155" w:lineRule="exact"/>
        <w:rPr>
          <w:rFonts w:ascii="Arial" w:cs="Arial" w:eastAsia="Arial" w:hAnsi="Arial"/>
          <w:sz w:val="20"/>
          <w:szCs w:val="20"/>
          <w:color w:val="auto"/>
        </w:rPr>
      </w:pPr>
    </w:p>
    <w:p>
      <w:pPr>
        <w:ind w:right="60" w:firstLine="251"/>
        <w:spacing w:after="0" w:line="226" w:lineRule="auto"/>
        <w:tabs>
          <w:tab w:leader="none" w:pos="63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156" w:lineRule="exact"/>
        <w:rPr>
          <w:rFonts w:ascii="Arial" w:cs="Arial" w:eastAsia="Arial" w:hAnsi="Arial"/>
          <w:sz w:val="18"/>
          <w:szCs w:val="18"/>
          <w:color w:val="auto"/>
        </w:rPr>
      </w:pPr>
    </w:p>
    <w:p>
      <w:pPr>
        <w:ind w:right="20" w:firstLine="251"/>
        <w:spacing w:after="0" w:line="244" w:lineRule="auto"/>
        <w:tabs>
          <w:tab w:leader="none" w:pos="639"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20" w:top="1405" w:right="3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address as shown in these instruments, or to such other address as such party may designate in writing from time to time to the other party or</w:t>
      </w:r>
    </w:p>
    <w:p>
      <w:pPr>
        <w:spacing w:after="0" w:line="21" w:lineRule="exact"/>
        <w:rPr>
          <w:sz w:val="20"/>
          <w:szCs w:val="20"/>
          <w:color w:val="auto"/>
        </w:rPr>
      </w:pPr>
    </w:p>
    <w:p>
      <w:pPr>
        <w:ind w:right="300" w:firstLine="8"/>
        <w:spacing w:after="0" w:line="224" w:lineRule="auto"/>
        <w:tabs>
          <w:tab w:leader="none" w:pos="291" w:val="left"/>
        </w:tabs>
        <w:numPr>
          <w:ilvl w:val="0"/>
          <w:numId w:val="53"/>
        </w:numPr>
        <w:rPr>
          <w:rFonts w:ascii="Arial" w:cs="Arial" w:eastAsia="Arial" w:hAnsi="Arial"/>
          <w:sz w:val="19"/>
          <w:szCs w:val="19"/>
          <w:color w:val="auto"/>
        </w:rPr>
      </w:pPr>
      <w:r>
        <w:rPr>
          <w:rFonts w:ascii="Arial" w:cs="Arial" w:eastAsia="Arial" w:hAnsi="Arial"/>
          <w:sz w:val="19"/>
          <w:szCs w:val="19"/>
          <w:color w:val="auto"/>
        </w:rPr>
        <w:t>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155" w:lineRule="exact"/>
        <w:rPr>
          <w:rFonts w:ascii="Arial" w:cs="Arial" w:eastAsia="Arial" w:hAnsi="Arial"/>
          <w:sz w:val="19"/>
          <w:szCs w:val="19"/>
          <w:color w:val="auto"/>
        </w:rPr>
      </w:pPr>
    </w:p>
    <w:p>
      <w:pPr>
        <w:ind w:right="160" w:firstLine="251"/>
        <w:spacing w:after="0" w:line="213" w:lineRule="auto"/>
        <w:tabs>
          <w:tab w:leader="none" w:pos="639"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55" w:lineRule="exact"/>
        <w:rPr>
          <w:rFonts w:ascii="Arial" w:cs="Arial" w:eastAsia="Arial" w:hAnsi="Arial"/>
          <w:sz w:val="20"/>
          <w:szCs w:val="20"/>
          <w:color w:val="auto"/>
        </w:rPr>
      </w:pPr>
    </w:p>
    <w:p>
      <w:pPr>
        <w:ind w:right="100" w:firstLine="251"/>
        <w:spacing w:after="0" w:line="242" w:lineRule="auto"/>
        <w:tabs>
          <w:tab w:leader="none" w:pos="639"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Agreement Severable</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53" w:lineRule="exact"/>
        <w:rPr>
          <w:rFonts w:ascii="Arial" w:cs="Arial" w:eastAsia="Arial" w:hAnsi="Arial"/>
          <w:sz w:val="19"/>
          <w:szCs w:val="19"/>
          <w:color w:val="auto"/>
        </w:rPr>
      </w:pPr>
    </w:p>
    <w:p>
      <w:pPr>
        <w:ind w:right="140" w:firstLine="251"/>
        <w:spacing w:after="0" w:line="229" w:lineRule="auto"/>
        <w:tabs>
          <w:tab w:leader="none" w:pos="639"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155" w:lineRule="exact"/>
        <w:rPr>
          <w:rFonts w:ascii="Arial" w:cs="Arial" w:eastAsia="Arial" w:hAnsi="Arial"/>
          <w:sz w:val="20"/>
          <w:szCs w:val="20"/>
          <w:color w:val="auto"/>
        </w:rPr>
      </w:pPr>
    </w:p>
    <w:p>
      <w:pPr>
        <w:ind w:right="40" w:firstLine="251"/>
        <w:spacing w:after="0" w:line="213" w:lineRule="auto"/>
        <w:tabs>
          <w:tab w:leader="none" w:pos="639"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55" w:lineRule="exact"/>
        <w:rPr>
          <w:rFonts w:ascii="Arial" w:cs="Arial" w:eastAsia="Arial" w:hAnsi="Arial"/>
          <w:sz w:val="20"/>
          <w:szCs w:val="20"/>
          <w:color w:val="auto"/>
        </w:rPr>
      </w:pPr>
    </w:p>
    <w:p>
      <w:pPr>
        <w:ind w:right="40" w:firstLine="251"/>
        <w:spacing w:after="0" w:line="225" w:lineRule="auto"/>
        <w:tabs>
          <w:tab w:leader="none" w:pos="639"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Optionee may be subject to insider trading and/or market abuse laws which may affect the Optionee’s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spacing w:after="0" w:line="160" w:lineRule="exact"/>
        <w:rPr>
          <w:rFonts w:ascii="Arial" w:cs="Arial" w:eastAsia="Arial" w:hAnsi="Arial"/>
          <w:sz w:val="18"/>
          <w:szCs w:val="18"/>
          <w:color w:val="auto"/>
        </w:rPr>
      </w:pPr>
    </w:p>
    <w:p>
      <w:pPr>
        <w:ind w:right="40" w:firstLine="251"/>
        <w:spacing w:after="0" w:line="258" w:lineRule="auto"/>
        <w:tabs>
          <w:tab w:leader="none" w:pos="63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Exchange Control Tax and Foreign Asset/Account Reporting Requirements</w:t>
      </w:r>
      <w:r>
        <w:rPr>
          <w:rFonts w:ascii="Arial" w:cs="Arial" w:eastAsia="Arial" w:hAnsi="Arial"/>
          <w:sz w:val="16"/>
          <w:szCs w:val="16"/>
          <w:color w:val="auto"/>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The Optionee acknowledges that it is the Optionee’s responsibility to be compliant with such regulations, and the Optionee should consult his or her personal legal advisor for any details.</w:t>
      </w:r>
    </w:p>
    <w:p>
      <w:pPr>
        <w:spacing w:after="0" w:line="145" w:lineRule="exact"/>
        <w:rPr>
          <w:rFonts w:ascii="Arial" w:cs="Arial" w:eastAsia="Arial" w:hAnsi="Arial"/>
          <w:sz w:val="16"/>
          <w:szCs w:val="16"/>
          <w:color w:val="auto"/>
        </w:rPr>
      </w:pPr>
    </w:p>
    <w:p>
      <w:pPr>
        <w:ind w:firstLine="251"/>
        <w:spacing w:after="0" w:line="218" w:lineRule="auto"/>
        <w:tabs>
          <w:tab w:leader="none" w:pos="639"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05" w:right="339" w:bottom="1440" w:gutter="0" w:footer="0" w:header="0"/>
        </w:sectPr>
      </w:pPr>
    </w:p>
    <w:bookmarkStart w:id="70" w:name="page71"/>
    <w:bookmarkEnd w:id="70"/>
    <w:p>
      <w:pPr>
        <w:ind w:right="500"/>
        <w:spacing w:after="0" w:line="229" w:lineRule="auto"/>
        <w:rPr>
          <w:sz w:val="20"/>
          <w:szCs w:val="20"/>
          <w:color w:val="auto"/>
        </w:rPr>
      </w:pPr>
      <w:r>
        <w:rPr>
          <w:rFonts w:ascii="Arial" w:cs="Arial" w:eastAsia="Arial" w:hAnsi="Arial"/>
          <w:sz w:val="20"/>
          <w:szCs w:val="20"/>
          <w:color w:val="auto"/>
        </w:rPr>
        <w:t>Optionee, to the extent the Company determines that the application of such terms is necessary or advisable for legal or administrative reasons. The Appendix constitutes part of this Agreement.</w:t>
      </w:r>
    </w:p>
    <w:p>
      <w:pPr>
        <w:spacing w:after="0" w:line="155" w:lineRule="exact"/>
        <w:rPr>
          <w:sz w:val="20"/>
          <w:szCs w:val="20"/>
          <w:color w:val="auto"/>
        </w:rPr>
      </w:pPr>
    </w:p>
    <w:p>
      <w:pPr>
        <w:jc w:val="both"/>
        <w:ind w:firstLine="251"/>
        <w:spacing w:after="0" w:line="218" w:lineRule="auto"/>
        <w:tabs>
          <w:tab w:leader="none" w:pos="63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156" w:lineRule="exact"/>
        <w:rPr>
          <w:rFonts w:ascii="Arial" w:cs="Arial" w:eastAsia="Arial" w:hAnsi="Arial"/>
          <w:sz w:val="20"/>
          <w:szCs w:val="20"/>
          <w:color w:val="auto"/>
        </w:rPr>
      </w:pPr>
    </w:p>
    <w:p>
      <w:pPr>
        <w:ind w:right="100" w:firstLine="251"/>
        <w:spacing w:after="0" w:line="231" w:lineRule="auto"/>
        <w:tabs>
          <w:tab w:leader="none" w:pos="63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40"/>
          </w:cols>
          <w:pgMar w:left="320" w:top="1405" w:right="439" w:bottom="1440" w:gutter="0" w:footer="0" w:header="0"/>
        </w:sectPr>
      </w:pPr>
    </w:p>
    <w:bookmarkStart w:id="71" w:name="page72"/>
    <w:bookmarkEnd w:id="71"/>
    <w:p>
      <w:pPr>
        <w:jc w:val="center"/>
        <w:ind w:right="-159"/>
        <w:spacing w:after="0"/>
        <w:rPr>
          <w:sz w:val="20"/>
          <w:szCs w:val="20"/>
          <w:color w:val="auto"/>
        </w:rPr>
      </w:pPr>
      <w:r>
        <w:rPr>
          <w:rFonts w:ascii="Arial" w:cs="Arial" w:eastAsia="Arial" w:hAnsi="Arial"/>
          <w:sz w:val="20"/>
          <w:szCs w:val="20"/>
          <w:b w:val="1"/>
          <w:bCs w:val="1"/>
          <w:color w:val="auto"/>
        </w:rPr>
        <w:t>***</w:t>
      </w:r>
    </w:p>
    <w:p>
      <w:pPr>
        <w:ind w:firstLine="648"/>
        <w:spacing w:after="0" w:line="209" w:lineRule="auto"/>
        <w:rPr>
          <w:sz w:val="20"/>
          <w:szCs w:val="20"/>
          <w:color w:val="auto"/>
        </w:rPr>
      </w:pPr>
      <w:r>
        <w:rPr>
          <w:rFonts w:ascii="Arial" w:cs="Arial" w:eastAsia="Arial" w:hAnsi="Arial"/>
          <w:sz w:val="20"/>
          <w:szCs w:val="20"/>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Ellen M. Smith</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Ellen M. Smith</w:t>
      </w:r>
    </w:p>
    <w:p>
      <w:pPr>
        <w:ind w:left="4540"/>
        <w:spacing w:after="0"/>
        <w:rPr>
          <w:sz w:val="20"/>
          <w:szCs w:val="20"/>
          <w:color w:val="auto"/>
        </w:rPr>
      </w:pPr>
      <w:r>
        <w:rPr>
          <w:rFonts w:ascii="Arial" w:cs="Arial" w:eastAsia="Arial" w:hAnsi="Arial"/>
          <w:sz w:val="20"/>
          <w:szCs w:val="20"/>
          <w:color w:val="auto"/>
        </w:rPr>
        <w:t>SVP &amp; Chief Counsel, Chief Compliance 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00"/>
          </w:cols>
          <w:pgMar w:left="320" w:top="1380" w:right="479" w:bottom="1440" w:gutter="0" w:footer="0" w:header="0"/>
        </w:sectPr>
      </w:pPr>
    </w:p>
    <w:bookmarkStart w:id="72" w:name="page73"/>
    <w:bookmarkEnd w:id="72"/>
    <w:p>
      <w:pPr>
        <w:ind w:left="5020"/>
        <w:spacing w:after="0"/>
        <w:rPr>
          <w:sz w:val="20"/>
          <w:szCs w:val="20"/>
          <w:color w:val="auto"/>
        </w:rPr>
      </w:pPr>
      <w:r>
        <w:rPr>
          <w:rFonts w:ascii="Arial" w:cs="Arial" w:eastAsia="Arial" w:hAnsi="Arial"/>
          <w:sz w:val="20"/>
          <w:szCs w:val="20"/>
          <w:b w:val="1"/>
          <w:bCs w:val="1"/>
          <w:u w:val="single" w:color="auto"/>
          <w:color w:val="auto"/>
        </w:rPr>
        <w:t>APPENDIX A</w:t>
      </w:r>
    </w:p>
    <w:p>
      <w:pPr>
        <w:spacing w:after="0" w:line="18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MONDELĒZ INTERNATIONAL, INC.</w:t>
      </w:r>
    </w:p>
    <w:p>
      <w:pPr>
        <w:jc w:val="center"/>
        <w:spacing w:after="0" w:line="197" w:lineRule="auto"/>
        <w:rPr>
          <w:sz w:val="20"/>
          <w:szCs w:val="20"/>
          <w:color w:val="auto"/>
        </w:rPr>
      </w:pPr>
      <w:r>
        <w:rPr>
          <w:rFonts w:ascii="Arial" w:cs="Arial" w:eastAsia="Arial" w:hAnsi="Arial"/>
          <w:sz w:val="20"/>
          <w:szCs w:val="20"/>
          <w:b w:val="1"/>
          <w:bCs w:val="1"/>
          <w:color w:val="auto"/>
        </w:rPr>
        <w:t>AMENDED AND RESTATED 2005 PERFORMANCE INCENTIVE PLAN</w:t>
      </w:r>
    </w:p>
    <w:p>
      <w:pPr>
        <w:jc w:val="center"/>
        <w:spacing w:after="0"/>
        <w:rPr>
          <w:sz w:val="20"/>
          <w:szCs w:val="20"/>
          <w:color w:val="auto"/>
        </w:rPr>
      </w:pPr>
      <w:r>
        <w:rPr>
          <w:rFonts w:ascii="Arial" w:cs="Arial" w:eastAsia="Arial" w:hAnsi="Arial"/>
          <w:sz w:val="20"/>
          <w:szCs w:val="20"/>
          <w:b w:val="1"/>
          <w:bCs w:val="1"/>
          <w:color w:val="auto"/>
        </w:rPr>
        <w:t>(Amended and Restated as of February 3, 2017)</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OF THE</w:t>
      </w:r>
    </w:p>
    <w:p>
      <w:pPr>
        <w:jc w:val="center"/>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159" w:lineRule="exact"/>
        <w:rPr>
          <w:sz w:val="20"/>
          <w:szCs w:val="20"/>
          <w:color w:val="auto"/>
        </w:rPr>
      </w:pPr>
    </w:p>
    <w:p>
      <w:pPr>
        <w:ind w:right="60"/>
        <w:spacing w:after="0" w:line="218" w:lineRule="auto"/>
        <w:rPr>
          <w:sz w:val="20"/>
          <w:szCs w:val="20"/>
          <w:color w:val="auto"/>
        </w:rPr>
      </w:pPr>
      <w:r>
        <w:rPr>
          <w:rFonts w:ascii="Arial" w:cs="Arial" w:eastAsia="Arial" w:hAnsi="Arial"/>
          <w:sz w:val="19"/>
          <w:szCs w:val="19"/>
          <w:color w:val="auto"/>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59"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2022.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spacing w:after="0" w:line="134" w:lineRule="exact"/>
        <w:rPr>
          <w:sz w:val="20"/>
          <w:szCs w:val="20"/>
          <w:color w:val="auto"/>
        </w:rPr>
      </w:pPr>
    </w:p>
    <w:p>
      <w:pPr>
        <w:jc w:val="both"/>
        <w:ind w:right="180"/>
        <w:spacing w:after="0" w:line="218" w:lineRule="auto"/>
        <w:rPr>
          <w:sz w:val="20"/>
          <w:szCs w:val="20"/>
          <w:color w:val="auto"/>
        </w:rPr>
      </w:pPr>
      <w:r>
        <w:rPr>
          <w:rFonts w:ascii="Arial" w:cs="Arial" w:eastAsia="Arial" w:hAnsi="Arial"/>
          <w:sz w:val="20"/>
          <w:szCs w:val="20"/>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spacing w:after="0" w:line="156" w:lineRule="exact"/>
        <w:rPr>
          <w:sz w:val="20"/>
          <w:szCs w:val="20"/>
          <w:color w:val="auto"/>
        </w:rPr>
      </w:pPr>
    </w:p>
    <w:p>
      <w:pPr>
        <w:ind w:right="160"/>
        <w:spacing w:after="0" w:line="218" w:lineRule="auto"/>
        <w:rPr>
          <w:sz w:val="20"/>
          <w:szCs w:val="20"/>
          <w:color w:val="auto"/>
        </w:rPr>
      </w:pPr>
      <w:r>
        <w:rPr>
          <w:rFonts w:ascii="Arial" w:cs="Arial" w:eastAsia="Arial" w:hAnsi="Arial"/>
          <w:sz w:val="20"/>
          <w:szCs w:val="20"/>
          <w:color w:val="auto"/>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EUROPEAN UNION / EUROPEAN ECONOMIC AREA, SWITZERLAND AND THE UNITED KINGDOM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of the Agreement:</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the Optionee is based in the European Union (“EU”), the European Economic Area, Switzerland or the United Kingdom, the Optionee should note that Mondelēz International, Inc., with registered address at 905 West Fulton Market, Suite 200, Chicago, Illinois 60607, U.S.A. is the controller responsible for the processing of the Optionee's Personal Data (as defined below) in connection with the Agreement and the Plan.</w:t>
      </w:r>
    </w:p>
    <w:p>
      <w:pPr>
        <w:spacing w:after="0" w:line="191" w:lineRule="exact"/>
        <w:rPr>
          <w:sz w:val="20"/>
          <w:szCs w:val="20"/>
          <w:color w:val="auto"/>
        </w:rPr>
      </w:pPr>
    </w:p>
    <w:p>
      <w:pPr>
        <w:ind w:right="80"/>
        <w:spacing w:after="0" w:line="221" w:lineRule="auto"/>
        <w:rPr>
          <w:sz w:val="20"/>
          <w:szCs w:val="20"/>
          <w:color w:val="auto"/>
        </w:rPr>
      </w:pPr>
      <w:r>
        <w:rPr>
          <w:rFonts w:ascii="Arial" w:cs="Arial" w:eastAsia="Arial" w:hAnsi="Arial"/>
          <w:sz w:val="19"/>
          <w:szCs w:val="19"/>
          <w:u w:val="single" w:color="auto"/>
          <w:color w:val="auto"/>
        </w:rPr>
        <w:t>Data Collection and Usage</w:t>
      </w:r>
      <w:r>
        <w:rPr>
          <w:rFonts w:ascii="Arial" w:cs="Arial" w:eastAsia="Arial" w:hAnsi="Arial"/>
          <w:sz w:val="19"/>
          <w:szCs w:val="19"/>
          <w:color w:val="auto"/>
        </w:rPr>
        <w:t>.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399" w:right="339" w:bottom="1440" w:gutter="0" w:footer="0" w:header="0"/>
        </w:sectPr>
      </w:pPr>
    </w:p>
    <w:bookmarkStart w:id="73" w:name="page74"/>
    <w:bookmarkEnd w:id="73"/>
    <w:p>
      <w:pPr>
        <w:ind w:right="240"/>
        <w:spacing w:after="0" w:line="229" w:lineRule="auto"/>
        <w:rPr>
          <w:sz w:val="20"/>
          <w:szCs w:val="20"/>
          <w:color w:val="auto"/>
        </w:rPr>
      </w:pPr>
      <w:r>
        <w:rPr>
          <w:rFonts w:ascii="Arial" w:cs="Arial" w:eastAsia="Arial" w:hAnsi="Arial"/>
          <w:sz w:val="20"/>
          <w:szCs w:val="20"/>
          <w:color w:val="auto"/>
        </w:rPr>
        <w:t>receives from the Optionee or the Employer (“Personal Data”) for the exclusive legitimate purpose of granting Options and implementing, administering and managing the Optionee’s participation in the Plan.</w:t>
      </w:r>
    </w:p>
    <w:p>
      <w:pPr>
        <w:spacing w:after="0" w:line="155"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spacing w:after="0" w:line="134" w:lineRule="exact"/>
        <w:rPr>
          <w:sz w:val="20"/>
          <w:szCs w:val="20"/>
          <w:color w:val="auto"/>
        </w:rPr>
      </w:pPr>
    </w:p>
    <w:p>
      <w:pPr>
        <w:spacing w:after="0" w:line="212" w:lineRule="auto"/>
        <w:rPr>
          <w:sz w:val="20"/>
          <w:szCs w:val="20"/>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UBS, PricewaterhouseCoopers LLP or KPMG LLP with such agreement being a condition to the Optionee’s ability to participate in the Plan.</w:t>
      </w:r>
    </w:p>
    <w:p>
      <w:pPr>
        <w:spacing w:after="0" w:line="156" w:lineRule="exact"/>
        <w:rPr>
          <w:sz w:val="20"/>
          <w:szCs w:val="20"/>
          <w:color w:val="auto"/>
        </w:rPr>
      </w:pPr>
    </w:p>
    <w:p>
      <w:pPr>
        <w:ind w:right="460"/>
        <w:spacing w:after="0" w:line="242" w:lineRule="auto"/>
        <w:rPr>
          <w:sz w:val="20"/>
          <w:szCs w:val="20"/>
          <w:color w:val="auto"/>
        </w:rPr>
      </w:pPr>
      <w:r>
        <w:rPr>
          <w:rFonts w:ascii="Arial" w:cs="Arial" w:eastAsia="Arial" w:hAnsi="Arial"/>
          <w:sz w:val="19"/>
          <w:szCs w:val="19"/>
          <w:color w:val="auto"/>
        </w:rPr>
        <w:t xml:space="preserve">The Optionee may request a copy of the safeguards used to protect his or her Personal Data or the names and addresses of any potential recipients of Personal Data by contacting the Company at </w:t>
      </w:r>
      <w:r>
        <w:rPr>
          <w:rFonts w:ascii="Arial" w:cs="Arial" w:eastAsia="Arial" w:hAnsi="Arial"/>
          <w:sz w:val="19"/>
          <w:szCs w:val="19"/>
          <w:u w:val="single" w:color="auto"/>
          <w:color w:val="auto"/>
        </w:rPr>
        <w:t>DataProtectionOfficeMEU@mdlz.com</w:t>
      </w:r>
      <w:r>
        <w:rPr>
          <w:rFonts w:ascii="Arial" w:cs="Arial" w:eastAsia="Arial" w:hAnsi="Arial"/>
          <w:sz w:val="19"/>
          <w:szCs w:val="19"/>
          <w:color w:val="auto"/>
        </w:rPr>
        <w:t>.</w:t>
      </w:r>
    </w:p>
    <w:p>
      <w:pPr>
        <w:spacing w:after="0" w:line="153" w:lineRule="exact"/>
        <w:rPr>
          <w:sz w:val="20"/>
          <w:szCs w:val="20"/>
          <w:color w:val="auto"/>
        </w:rPr>
      </w:pPr>
    </w:p>
    <w:p>
      <w:pPr>
        <w:ind w:right="60"/>
        <w:spacing w:after="0" w:line="224" w:lineRule="auto"/>
        <w:rPr>
          <w:sz w:val="20"/>
          <w:szCs w:val="20"/>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5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Arial" w:cs="Arial" w:eastAsia="Arial" w:hAnsi="Arial"/>
          <w:sz w:val="18"/>
          <w:szCs w:val="18"/>
          <w:u w:val="single" w:color="auto"/>
          <w:color w:val="auto"/>
        </w:rPr>
        <w:t>DataProtectionOfficeMEU@mdlz.com</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00"/>
          </w:cols>
          <w:pgMar w:left="320" w:top="1405" w:right="379" w:bottom="1440" w:gutter="0" w:footer="0" w:header="0"/>
        </w:sectPr>
      </w:pPr>
    </w:p>
    <w:bookmarkStart w:id="74" w:name="page75"/>
    <w:bookmarkEnd w:id="74"/>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ind w:right="60"/>
        <w:spacing w:after="0" w:line="208"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Argentina,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54"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b w:val="1"/>
          <w:bCs w:val="1"/>
          <w:color w:val="auto"/>
        </w:rPr>
        <w:t>Restrictions and Covenants</w:t>
      </w:r>
      <w:r>
        <w:rPr>
          <w:rFonts w:ascii="Arial" w:cs="Arial" w:eastAsia="Arial" w:hAnsi="Arial"/>
          <w:sz w:val="20"/>
          <w:szCs w:val="20"/>
          <w:color w:val="auto"/>
        </w:rPr>
        <w:t>. 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Optionees.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12 of the Agreement:</w:t>
      </w:r>
    </w:p>
    <w:p>
      <w:pPr>
        <w:spacing w:after="0" w:line="18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29" w:lineRule="exact"/>
        <w:rPr>
          <w:sz w:val="20"/>
          <w:szCs w:val="20"/>
          <w:color w:val="auto"/>
        </w:rPr>
      </w:pPr>
    </w:p>
    <w:p>
      <w:pPr>
        <w:ind w:right="640"/>
        <w:spacing w:after="0" w:line="229"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Optionee acknowledges and agrees that such benefits shall not accrue more frequently than on each vesting date.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340"/>
        <w:spacing w:after="0" w:line="232"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Option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149"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spacing w:after="0" w:line="152"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Optionee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on his or her annual tax return each year.</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ind w:right="520"/>
        <w:spacing w:after="0" w:line="232" w:lineRule="auto"/>
        <w:rPr>
          <w:sz w:val="20"/>
          <w:szCs w:val="20"/>
          <w:color w:val="auto"/>
        </w:rPr>
      </w:pPr>
      <w:r>
        <w:rPr>
          <w:rFonts w:ascii="Arial" w:cs="Arial" w:eastAsia="Arial" w:hAnsi="Arial"/>
          <w:sz w:val="20"/>
          <w:szCs w:val="20"/>
          <w:b w:val="1"/>
          <w:bCs w:val="1"/>
          <w:color w:val="auto"/>
        </w:rPr>
        <w:t xml:space="preserve">Nature of Plan. </w:t>
      </w:r>
      <w:r>
        <w:rPr>
          <w:rFonts w:ascii="Arial" w:cs="Arial" w:eastAsia="Arial" w:hAnsi="Arial"/>
          <w:sz w:val="20"/>
          <w:szCs w:val="20"/>
          <w:color w:val="auto"/>
        </w:rPr>
        <w:t>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“Act”) applies (subject to the conditions in the Act).</w:t>
      </w:r>
    </w:p>
    <w:p>
      <w:pPr>
        <w:spacing w:after="0" w:line="149"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Optionee’s right to participate in the Plan and receive the grant of the Option under the Plan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as stated in the offer document, the Plan and the Agreement. By accepting the grant of the Option, the Optionee acknowledges and confirms that the Optionee has received these documents.</w:t>
      </w:r>
    </w:p>
    <w:p>
      <w:pPr>
        <w:spacing w:after="0" w:line="151"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b w:val="1"/>
          <w:bCs w:val="1"/>
          <w:color w:val="auto"/>
        </w:rPr>
        <w:t>No payment constituting breach of law in Australia</w:t>
      </w:r>
      <w:r>
        <w:rPr>
          <w:rFonts w:ascii="Arial" w:cs="Arial" w:eastAsia="Arial" w:hAnsi="Arial"/>
          <w:sz w:val="20"/>
          <w:szCs w:val="20"/>
          <w:color w:val="auto"/>
        </w:rPr>
        <w:t>. Notwithstanding anything else in the Plan or the Agreement, the Optionee will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entitled to, and shall not claim any benefit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432" w:right="339" w:bottom="1440" w:gutter="0" w:footer="0" w:header="0"/>
        </w:sectPr>
      </w:pPr>
    </w:p>
    <w:bookmarkStart w:id="75" w:name="page76"/>
    <w:bookmarkEnd w:id="75"/>
    <w:p>
      <w:pPr>
        <w:ind w:right="140"/>
        <w:spacing w:after="0" w:line="213" w:lineRule="auto"/>
        <w:rPr>
          <w:sz w:val="20"/>
          <w:szCs w:val="20"/>
          <w:color w:val="auto"/>
        </w:rPr>
      </w:pPr>
      <w:r>
        <w:rPr>
          <w:rFonts w:ascii="Arial" w:cs="Arial" w:eastAsia="Arial" w:hAnsi="Arial"/>
          <w:sz w:val="20"/>
          <w:szCs w:val="20"/>
          <w:color w:val="auto"/>
        </w:rPr>
        <w:t>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60"/>
        <w:spacing w:after="0" w:line="23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Optionee’s behalf, otherwise the Optionee will be responsible for complying with any exchange control reporting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Optionee holds shares of Common Stock acquired under the Plan or cash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proceeds from the sale of shares of Common Stock) outside Austria, the Optionee may be subject to reporting obligations to the Austrian National Bank.</w:t>
      </w:r>
    </w:p>
    <w:p>
      <w:pPr>
        <w:spacing w:after="0" w:line="151" w:lineRule="exact"/>
        <w:rPr>
          <w:sz w:val="20"/>
          <w:szCs w:val="20"/>
          <w:color w:val="auto"/>
        </w:rPr>
      </w:pPr>
    </w:p>
    <w:p>
      <w:pPr>
        <w:ind w:right="60"/>
        <w:spacing w:after="0" w:line="22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A separate reporting requirement applies if the Optionee sells shares of Common Stock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receives a cash dividend paid on such shares of Common Stock.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Tax Considerations. </w:t>
      </w:r>
      <w:r>
        <w:rPr>
          <w:rFonts w:ascii="Arial" w:cs="Arial" w:eastAsia="Arial" w:hAnsi="Arial"/>
          <w:sz w:val="18"/>
          <w:szCs w:val="18"/>
          <w:color w:val="auto"/>
        </w:rPr>
        <w:t>The Option must be accepted in writing either (i) within 60 days of the offer (for tax at offer), or (ii) after 60 days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offer (for tax at exercise). The Optionee will receive a separate offer letter, acceptance form and undertaking form in addition to the Agreement. He or she should refer to the offer letter for a more detailed description of the tax consequences of choosing to accept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05"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Option. The Optionee should consult a personal tax advisor with respect to completing the additional forms.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report any securities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149"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b w:val="1"/>
          <w:bCs w:val="1"/>
          <w:color w:val="auto"/>
        </w:rPr>
        <w:t xml:space="preserve">Annual Securities Accounts Tax. </w:t>
      </w:r>
      <w:r>
        <w:rPr>
          <w:rFonts w:ascii="Arial" w:cs="Arial" w:eastAsia="Arial" w:hAnsi="Arial"/>
          <w:sz w:val="18"/>
          <w:szCs w:val="18"/>
          <w:color w:val="auto"/>
        </w:rPr>
        <w:t>If the value of securities held in a Belgian or foreign securities account exceeds EUR 1 million, a new</w:t>
      </w:r>
      <w:r>
        <w:rPr>
          <w:rFonts w:ascii="Arial" w:cs="Arial" w:eastAsia="Arial" w:hAnsi="Arial"/>
          <w:sz w:val="18"/>
          <w:szCs w:val="18"/>
          <w:b w:val="1"/>
          <w:bCs w:val="1"/>
          <w:color w:val="auto"/>
        </w:rPr>
        <w:t xml:space="preserve"> </w:t>
      </w:r>
      <w:r>
        <w:rPr>
          <w:rFonts w:ascii="Arial" w:cs="Arial" w:eastAsia="Arial" w:hAnsi="Arial"/>
          <w:sz w:val="18"/>
          <w:szCs w:val="18"/>
          <w:color w:val="auto"/>
        </w:rPr>
        <w:t>“annual securities accounts tax” applies. Belgian residents should consult with their personal tax advisor regarding the new tax.</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Option, the Optionee acknowledges that he or she agrees to comply with applicable Brazilian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pay any and all applicable Tax-Related Items associated with the exercise of the Option, the receipt of any dividends and the sale of shares of Common Stock acquired under the Plan.</w:t>
      </w:r>
    </w:p>
    <w:p>
      <w:pPr>
        <w:spacing w:after="0" w:line="151" w:lineRule="exact"/>
        <w:rPr>
          <w:sz w:val="20"/>
          <w:szCs w:val="20"/>
          <w:color w:val="auto"/>
        </w:rPr>
      </w:pPr>
    </w:p>
    <w:p>
      <w:pPr>
        <w:jc w:val="both"/>
        <w:ind w:right="80"/>
        <w:spacing w:after="0" w:line="220" w:lineRule="auto"/>
        <w:rPr>
          <w:sz w:val="20"/>
          <w:szCs w:val="20"/>
          <w:color w:val="auto"/>
        </w:rPr>
      </w:pPr>
      <w:r>
        <w:rPr>
          <w:rFonts w:ascii="Arial" w:cs="Arial" w:eastAsia="Arial" w:hAnsi="Arial"/>
          <w:sz w:val="20"/>
          <w:szCs w:val="20"/>
          <w:b w:val="1"/>
          <w:bCs w:val="1"/>
          <w:color w:val="auto"/>
        </w:rPr>
        <w:t xml:space="preserve">Labor Law Acknowledgment. </w:t>
      </w:r>
      <w:r>
        <w:rPr>
          <w:rFonts w:ascii="Arial" w:cs="Arial" w:eastAsia="Arial" w:hAnsi="Arial"/>
          <w:sz w:val="20"/>
          <w:szCs w:val="20"/>
          <w:color w:val="auto"/>
        </w:rPr>
        <w:t>By accepting the Option, the Optionee understands, acknowledges and agrees that, for all legal purposes (i)</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Optionee is making an investment decision and (ii) the value of the underlying shares of Common Stock are not fixed and may increase or decrease in value over the vesting period without compensation to the Optionee.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Individuals who are resident or domiciled in Brazil are generally required to submit an annual declaration</w:t>
      </w:r>
    </w:p>
    <w:p>
      <w:pPr>
        <w:spacing w:after="0" w:line="212" w:lineRule="auto"/>
        <w:rPr>
          <w:sz w:val="20"/>
          <w:szCs w:val="20"/>
          <w:color w:val="auto"/>
        </w:rPr>
      </w:pPr>
      <w:r>
        <w:rPr>
          <w:rFonts w:ascii="Arial" w:cs="Arial" w:eastAsia="Arial" w:hAnsi="Arial"/>
          <w:sz w:val="19"/>
          <w:szCs w:val="19"/>
          <w:color w:val="auto"/>
        </w:rPr>
        <w:t>of assets and rights held outside Brazil to the Central Bank of Brazil if the aggregate value of such assets and rights is greater than</w:t>
      </w:r>
    </w:p>
    <w:p>
      <w:pPr>
        <w:spacing w:after="0" w:line="219" w:lineRule="auto"/>
        <w:rPr>
          <w:sz w:val="20"/>
          <w:szCs w:val="20"/>
          <w:color w:val="auto"/>
        </w:rPr>
      </w:pPr>
      <w:r>
        <w:rPr>
          <w:rFonts w:ascii="Arial" w:cs="Arial" w:eastAsia="Arial" w:hAnsi="Arial"/>
          <w:sz w:val="18"/>
          <w:szCs w:val="18"/>
          <w:color w:val="auto"/>
        </w:rPr>
        <w:t>US$1,000,000. If such amount is equal to or greater than US$100,000,000, the referenced declaration must be submitted quarterly, in the</w:t>
      </w:r>
    </w:p>
    <w:p>
      <w:pPr>
        <w:spacing w:after="0" w:line="207" w:lineRule="auto"/>
        <w:rPr>
          <w:sz w:val="20"/>
          <w:szCs w:val="20"/>
          <w:color w:val="auto"/>
        </w:rPr>
      </w:pPr>
      <w:r>
        <w:rPr>
          <w:rFonts w:ascii="Arial" w:cs="Arial" w:eastAsia="Arial" w:hAnsi="Arial"/>
          <w:sz w:val="19"/>
          <w:szCs w:val="19"/>
          <w:color w:val="auto"/>
        </w:rPr>
        <w:t>month following the end of each quarter. Assets and rights to be included in this annual declaration include shares of Common Stock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acquired under the Plan.</w:t>
      </w:r>
    </w:p>
    <w:p>
      <w:pPr>
        <w:spacing w:after="0" w:line="153" w:lineRule="exact"/>
        <w:rPr>
          <w:sz w:val="20"/>
          <w:szCs w:val="20"/>
          <w:color w:val="auto"/>
        </w:rPr>
      </w:pPr>
    </w:p>
    <w:p>
      <w:pPr>
        <w:ind w:right="280"/>
        <w:spacing w:after="0" w:line="211" w:lineRule="auto"/>
        <w:rPr>
          <w:sz w:val="20"/>
          <w:szCs w:val="20"/>
          <w:color w:val="auto"/>
        </w:rPr>
      </w:pPr>
      <w:r>
        <w:rPr>
          <w:rFonts w:ascii="Arial" w:cs="Arial" w:eastAsia="Arial" w:hAnsi="Arial"/>
          <w:sz w:val="20"/>
          <w:szCs w:val="20"/>
          <w:b w:val="1"/>
          <w:bCs w:val="1"/>
          <w:color w:val="auto"/>
        </w:rPr>
        <w:t>Tax on Financial Transaction (IOF)</w:t>
      </w:r>
      <w:r>
        <w:rPr>
          <w:rFonts w:ascii="Arial" w:cs="Arial" w:eastAsia="Arial" w:hAnsi="Arial"/>
          <w:sz w:val="20"/>
          <w:szCs w:val="20"/>
          <w:color w:val="auto"/>
        </w:rPr>
        <w:t>. Payments to foreign countries (including payment of the Grant Price) and the repatriation of funds</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the Optionee exercises the Option through a cash purchase exercise, in order to remit funds out of</w:t>
      </w:r>
      <w:r>
        <w:rPr>
          <w:rFonts w:ascii="Arial" w:cs="Arial" w:eastAsia="Arial" w:hAnsi="Arial"/>
          <w:sz w:val="16"/>
          <w:szCs w:val="16"/>
          <w:b w:val="1"/>
          <w:bCs w:val="1"/>
          <w:color w:val="auto"/>
        </w:rPr>
        <w:t xml:space="preserve"> </w:t>
      </w:r>
      <w:r>
        <w:rPr>
          <w:rFonts w:ascii="Arial" w:cs="Arial" w:eastAsia="Arial" w:hAnsi="Arial"/>
          <w:sz w:val="16"/>
          <w:szCs w:val="16"/>
          <w:color w:val="auto"/>
        </w:rPr>
        <w:t>Bulgaria, he or she will need to declare the purpose of the remittance to the local bank that is transferring the funds abroad. If the amount the Optionee wishes to transfer exceeds BGN 30,000, he or she will need to provide the bank with certain documents evidencing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60"/>
          </w:cols>
          <w:pgMar w:left="320" w:top="1405" w:right="419" w:bottom="1440" w:gutter="0" w:footer="0" w:header="0"/>
        </w:sectPr>
      </w:pPr>
    </w:p>
    <w:bookmarkStart w:id="77" w:name="page78"/>
    <w:bookmarkEnd w:id="77"/>
    <w:p>
      <w:pPr>
        <w:ind w:right="220"/>
        <w:spacing w:after="0" w:line="229" w:lineRule="auto"/>
        <w:rPr>
          <w:sz w:val="20"/>
          <w:szCs w:val="20"/>
          <w:color w:val="auto"/>
        </w:rPr>
      </w:pPr>
      <w:r>
        <w:rPr>
          <w:rFonts w:ascii="Arial" w:cs="Arial" w:eastAsia="Arial" w:hAnsi="Arial"/>
          <w:sz w:val="20"/>
          <w:szCs w:val="20"/>
          <w:color w:val="auto"/>
        </w:rPr>
        <w:t>If the Optionee exercises the Option by way of a cashless method of exercise, this declaration will not be required because no funds will be remitted out of Bulgaria.</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addition, the Optionee will be required to file statistical forms with the Bulgarian national bank annually regarding his or her receivables in bank accounts abroad as well as securities held abroad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shares of Common Stock acquired under the Plan) if the total sum of all such receivables and securities equals or exceeds BGN50,000 as of the previous calendar year end. The reports are due by March 31.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Optionee should contact his or her bank in Bulgaria for additional information regarding these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Notwithstanding anything in the Plan or the Agreement to the contrary, the Optionee is prohibited from surrendering</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that he or she already owns or attesting to the ownership of shares of Common Stock to pay the Grant Price or any Tax-Related Items in connection with the Option.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Settlement. </w:t>
      </w:r>
      <w:r>
        <w:rPr>
          <w:rFonts w:ascii="Arial" w:cs="Arial" w:eastAsia="Arial" w:hAnsi="Arial"/>
          <w:sz w:val="20"/>
          <w:szCs w:val="20"/>
          <w:color w:val="auto"/>
        </w:rPr>
        <w:t>Options granted to employees resident in Canada shall be paid in shares of Common Stock only.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paragraphs 2 and 3(d) of the Agreement:</w:t>
      </w:r>
    </w:p>
    <w:p>
      <w:pPr>
        <w:spacing w:after="0" w:line="181" w:lineRule="exact"/>
        <w:rPr>
          <w:sz w:val="20"/>
          <w:szCs w:val="20"/>
          <w:color w:val="auto"/>
        </w:rPr>
      </w:pPr>
    </w:p>
    <w:p>
      <w:pPr>
        <w:ind w:right="220"/>
        <w:spacing w:after="0" w:line="205" w:lineRule="auto"/>
        <w:rPr>
          <w:sz w:val="20"/>
          <w:szCs w:val="20"/>
          <w:color w:val="auto"/>
        </w:rPr>
      </w:pPr>
      <w:r>
        <w:rPr>
          <w:rFonts w:ascii="Arial" w:cs="Arial" w:eastAsia="Arial" w:hAnsi="Arial"/>
          <w:sz w:val="20"/>
          <w:szCs w:val="20"/>
          <w:color w:val="auto"/>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or (2) the date the Optionee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spacing w:after="0" w:line="156" w:lineRule="exact"/>
        <w:rPr>
          <w:sz w:val="20"/>
          <w:szCs w:val="20"/>
          <w:color w:val="auto"/>
        </w:rPr>
      </w:pPr>
    </w:p>
    <w:p>
      <w:pPr>
        <w:ind w:right="100"/>
        <w:spacing w:after="0" w:line="210" w:lineRule="auto"/>
        <w:rPr>
          <w:sz w:val="20"/>
          <w:szCs w:val="20"/>
          <w:color w:val="auto"/>
        </w:rPr>
      </w:pPr>
      <w:r>
        <w:rPr>
          <w:rFonts w:ascii="Arial" w:cs="Arial" w:eastAsia="Arial" w:hAnsi="Arial"/>
          <w:sz w:val="20"/>
          <w:szCs w:val="20"/>
          <w:color w:val="auto"/>
        </w:rPr>
        <w:t>Notwithstanding the foregoing, if applicable employment standards legislation explicitly requires continued entitlement to vesting during a statutory notice period, the Optionee’s right to vest in the Option under the Plan, if any, will terminate effective as of the last day of the Optionee’s minimum statutory notice period. The Optionee will not earn or be entitled to pro-rated vesting for that portion of time before the date on which the Optionee’s right to vest terminates or if the vesting date falls after the end of the Optionee’s statutory notice period, nor will the Optionee be entitled to any compensation for lost vesting.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Optionees resident in Quebec:</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paragraph 13 of the Agreement:</w:t>
      </w:r>
    </w:p>
    <w:p>
      <w:pPr>
        <w:spacing w:after="0" w:line="181" w:lineRule="exact"/>
        <w:rPr>
          <w:sz w:val="20"/>
          <w:szCs w:val="20"/>
          <w:color w:val="auto"/>
        </w:rPr>
      </w:pPr>
    </w:p>
    <w:p>
      <w:pPr>
        <w:jc w:val="both"/>
        <w:ind w:right="40"/>
        <w:spacing w:after="0" w:line="224"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further authorizes the Mondelēz Group to record such information and to keep such information in his or her employee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05" w:right="339" w:bottom="1440" w:gutter="0" w:footer="0" w:header="0"/>
        </w:sectPr>
      </w:pPr>
    </w:p>
    <w:bookmarkStart w:id="78" w:name="page79"/>
    <w:bookmarkEnd w:id="78"/>
    <w:p>
      <w:pPr>
        <w:ind w:right="220"/>
        <w:spacing w:after="0" w:line="220"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57" w:lineRule="exact"/>
        <w:rPr>
          <w:sz w:val="20"/>
          <w:szCs w:val="20"/>
          <w:color w:val="auto"/>
        </w:rPr>
      </w:pPr>
    </w:p>
    <w:p>
      <w:pPr>
        <w:ind w:right="220"/>
        <w:spacing w:after="0" w:line="218"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tous documents, avis et procédures judiciaires, exécutés, donnés ou intentés en vertu de, ou liés directement ou indirectement à, la présente convention.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spacing w:after="0" w:line="214" w:lineRule="auto"/>
        <w:rPr>
          <w:sz w:val="20"/>
          <w:szCs w:val="20"/>
          <w:color w:val="auto"/>
        </w:rPr>
      </w:pPr>
      <w:r>
        <w:rPr>
          <w:rFonts w:ascii="Arial" w:cs="Arial" w:eastAsia="Arial" w:hAnsi="Arial"/>
          <w:sz w:val="20"/>
          <w:szCs w:val="20"/>
          <w:b w:val="1"/>
          <w:bCs w:val="1"/>
          <w:color w:val="auto"/>
        </w:rPr>
        <w:t xml:space="preserve">Non-Qualified Securities. </w:t>
      </w:r>
      <w:r>
        <w:rPr>
          <w:rFonts w:ascii="Arial" w:cs="Arial" w:eastAsia="Arial" w:hAnsi="Arial"/>
          <w:sz w:val="20"/>
          <w:szCs w:val="20"/>
          <w:color w:val="auto"/>
        </w:rPr>
        <w:t>All or a portion of the shares of Common Stock subject to the Option may be "non-qualified securities" within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meaning of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The Mondelēz Group shall provide the Optionee with additional information and/or appropriate notification regarding the characterization of the Option for Canadian income tax purposes as may be required by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and the regulations thereunder.</w:t>
      </w:r>
    </w:p>
    <w:p>
      <w:pPr>
        <w:spacing w:after="0" w:line="152" w:lineRule="exact"/>
        <w:rPr>
          <w:sz w:val="20"/>
          <w:szCs w:val="20"/>
          <w:color w:val="auto"/>
        </w:rPr>
      </w:pPr>
    </w:p>
    <w:p>
      <w:pPr>
        <w:ind w:right="380"/>
        <w:spacing w:after="0" w:line="23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Optionee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49" w:lineRule="exact"/>
        <w:rPr>
          <w:sz w:val="20"/>
          <w:szCs w:val="20"/>
          <w:color w:val="auto"/>
        </w:rPr>
      </w:pPr>
    </w:p>
    <w:p>
      <w:pPr>
        <w:ind w:right="200"/>
        <w:spacing w:after="0" w:line="2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is required to report any specified foreign property (including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w:t>
      </w:r>
      <w:r>
        <w:rPr>
          <w:rFonts w:ascii="Arial" w:cs="Arial" w:eastAsia="Arial" w:hAnsi="Arial"/>
          <w:sz w:val="19"/>
          <w:szCs w:val="19"/>
          <w:color w:val="auto"/>
        </w:rPr>
        <w:t>‒</w:t>
      </w:r>
      <w:r>
        <w:rPr>
          <w:rFonts w:ascii="Arial" w:cs="Arial" w:eastAsia="Arial" w:hAnsi="Arial"/>
          <w:sz w:val="19"/>
          <w:szCs w:val="19"/>
          <w:color w:val="auto"/>
        </w:rPr>
        <w:t>generally at a nil cost</w:t>
      </w:r>
      <w:r>
        <w:rPr>
          <w:rFonts w:ascii="Arial" w:cs="Arial" w:eastAsia="Arial" w:hAnsi="Arial"/>
          <w:sz w:val="19"/>
          <w:szCs w:val="19"/>
          <w:color w:val="auto"/>
        </w:rPr>
        <w:t>‒</w:t>
      </w:r>
      <w:r>
        <w:rPr>
          <w:rFonts w:ascii="Arial" w:cs="Arial" w:eastAsia="Arial" w:hAnsi="Arial"/>
          <w:sz w:val="19"/>
          <w:szCs w:val="19"/>
          <w:color w:val="auto"/>
        </w:rPr>
        <w:t xml:space="preserve"> if the $100,000 cost threshold is exceeded because of other specified foreign property the Optionee holds. If shares of Common Stock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75" w:lineRule="exact"/>
        <w:rPr>
          <w:sz w:val="20"/>
          <w:szCs w:val="20"/>
          <w:color w:val="auto"/>
        </w:rPr>
      </w:pPr>
    </w:p>
    <w:p>
      <w:pPr>
        <w:ind w:right="240"/>
        <w:spacing w:after="0" w:line="218" w:lineRule="auto"/>
        <w:rPr>
          <w:sz w:val="20"/>
          <w:szCs w:val="20"/>
          <w:color w:val="auto"/>
        </w:rPr>
      </w:pPr>
      <w:r>
        <w:rPr>
          <w:rFonts w:ascii="Arial" w:cs="Arial" w:eastAsia="Arial" w:hAnsi="Arial"/>
          <w:sz w:val="20"/>
          <w:szCs w:val="20"/>
          <w:b w:val="1"/>
          <w:bCs w:val="1"/>
          <w:i w:val="1"/>
          <w:iCs w:val="1"/>
          <w:color w:val="auto"/>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spacing w:after="0" w:line="150" w:lineRule="exact"/>
        <w:rPr>
          <w:sz w:val="20"/>
          <w:szCs w:val="20"/>
          <w:color w:val="auto"/>
        </w:rPr>
      </w:pPr>
    </w:p>
    <w:p>
      <w:pPr>
        <w:ind w:right="80"/>
        <w:spacing w:after="0" w:line="208"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legal restrictions in China, the Optionee</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60" w:lineRule="exact"/>
        <w:rPr>
          <w:sz w:val="20"/>
          <w:szCs w:val="20"/>
          <w:color w:val="auto"/>
        </w:rPr>
      </w:pPr>
    </w:p>
    <w:p>
      <w:pPr>
        <w:ind w:right="100"/>
        <w:spacing w:after="0" w:line="207" w:lineRule="auto"/>
        <w:rPr>
          <w:sz w:val="20"/>
          <w:szCs w:val="20"/>
          <w:color w:val="auto"/>
        </w:rPr>
      </w:pPr>
      <w:r>
        <w:rPr>
          <w:rFonts w:ascii="Arial" w:cs="Arial" w:eastAsia="Arial" w:hAnsi="Arial"/>
          <w:sz w:val="20"/>
          <w:szCs w:val="20"/>
          <w:color w:val="auto"/>
        </w:rPr>
        <w:t>In the event that the Optionee is not required to sell shares of Common Stock immediately upon exercise, any shares of Common Stock issued to the Optionee must be maintained in an account with UBS Financial Services, Inc. or such other broker as may be designated by the Company until the shares of Common Stock are sold through that broker. If the Company changes its designated broker, the Optionee acknowledges and agrees that the Company may transfer any shares of Common Stock issued under the Plan to the new designated broker if necessary for legal or administrative reasons. The Optionee agrees to sign any documentation necessary to facilitate the transfer. In addition, the Optionee acknowledges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99" w:right="339" w:bottom="1440" w:gutter="0" w:footer="0" w:header="0"/>
        </w:sectPr>
      </w:pPr>
    </w:p>
    <w:bookmarkStart w:id="79" w:name="page80"/>
    <w:bookmarkEnd w:id="79"/>
    <w:p>
      <w:pPr>
        <w:ind w:right="80"/>
        <w:spacing w:after="0" w:line="213" w:lineRule="auto"/>
        <w:rPr>
          <w:sz w:val="20"/>
          <w:szCs w:val="20"/>
          <w:color w:val="auto"/>
        </w:rPr>
      </w:pPr>
      <w:r>
        <w:rPr>
          <w:rFonts w:ascii="Arial" w:cs="Arial" w:eastAsia="Arial" w:hAnsi="Arial"/>
          <w:sz w:val="20"/>
          <w:szCs w:val="20"/>
          <w:color w:val="auto"/>
        </w:rPr>
        <w:t>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spacing w:after="0" w:line="150" w:lineRule="exact"/>
        <w:rPr>
          <w:sz w:val="20"/>
          <w:szCs w:val="20"/>
          <w:color w:val="auto"/>
        </w:rPr>
      </w:pPr>
    </w:p>
    <w:p>
      <w:pPr>
        <w:ind w:right="20"/>
        <w:spacing w:after="0" w:line="211" w:lineRule="auto"/>
        <w:rPr>
          <w:sz w:val="20"/>
          <w:szCs w:val="20"/>
          <w:color w:val="auto"/>
        </w:rPr>
      </w:pPr>
      <w:r>
        <w:rPr>
          <w:rFonts w:ascii="Arial" w:cs="Arial" w:eastAsia="Arial" w:hAnsi="Arial"/>
          <w:sz w:val="20"/>
          <w:szCs w:val="20"/>
          <w:b w:val="1"/>
          <w:bCs w:val="1"/>
          <w:color w:val="auto"/>
        </w:rPr>
        <w:t xml:space="preserve">Expiration Date. </w:t>
      </w:r>
      <w:r>
        <w:rPr>
          <w:rFonts w:ascii="Arial" w:cs="Arial" w:eastAsia="Arial" w:hAnsi="Arial"/>
          <w:sz w:val="20"/>
          <w:szCs w:val="20"/>
          <w:color w:val="auto"/>
        </w:rPr>
        <w:t>Notwithstanding anything to the contrary in the Agreement, in the event of the Optionee’s termination of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Mondelēz Group, the Optionee shall be permitted to exercise the Option for the </w:t>
      </w:r>
      <w:r>
        <w:rPr>
          <w:rFonts w:ascii="Arial" w:cs="Arial" w:eastAsia="Arial" w:hAnsi="Arial"/>
          <w:sz w:val="20"/>
          <w:szCs w:val="20"/>
          <w:u w:val="single" w:color="auto"/>
          <w:color w:val="auto"/>
        </w:rPr>
        <w:t>shorter</w:t>
      </w:r>
      <w:r>
        <w:rPr>
          <w:rFonts w:ascii="Arial" w:cs="Arial" w:eastAsia="Arial" w:hAnsi="Arial"/>
          <w:sz w:val="20"/>
          <w:szCs w:val="20"/>
          <w:color w:val="auto"/>
        </w:rPr>
        <w:t xml:space="preserve"> 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spacing w:after="0" w:line="150"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Optionee understands and agrees that, due to exchange control laws in China, he or she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63"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The Optionee further agrees to comply with any other requirements that may be imposed by the Company in the future in order to facilitate compliance with exchange control requirements in China.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04"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05" w:right="339" w:bottom="1440" w:gutter="0" w:footer="0" w:header="0"/>
        </w:sectPr>
      </w:pPr>
    </w:p>
    <w:bookmarkStart w:id="80" w:name="page81"/>
    <w:bookmarkEnd w:id="80"/>
    <w:p>
      <w:pPr>
        <w:ind w:right="160"/>
        <w:spacing w:after="0" w:line="23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4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Colombian residents must register shares of Common Stock acquired under the Plan, regardless of value,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Central Bank of Colombia (</w:t>
      </w:r>
      <w:r>
        <w:rPr>
          <w:rFonts w:ascii="Arial" w:cs="Arial" w:eastAsia="Arial" w:hAnsi="Arial"/>
          <w:sz w:val="16"/>
          <w:szCs w:val="16"/>
          <w:i w:val="1"/>
          <w:iCs w:val="1"/>
          <w:color w:val="auto"/>
        </w:rPr>
        <w:t>Banco de la República</w:t>
      </w:r>
      <w:r>
        <w:rPr>
          <w:rFonts w:ascii="Arial" w:cs="Arial" w:eastAsia="Arial" w:hAnsi="Arial"/>
          <w:sz w:val="16"/>
          <w:szCs w:val="16"/>
          <w:color w:val="auto"/>
        </w:rPr>
        <w:t>) as foreign investment held abroad. In addition, all payments relating to foreign</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investment originating in Colombia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payment of the Grant Price by cash exercise) and the liquidation of such investments must be transferred through the Colombian foreign exchange market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local banks), which includes the obligation of correctly completing and filing the appropriate foreign exchange form (</w:t>
      </w:r>
      <w:r>
        <w:rPr>
          <w:rFonts w:ascii="Arial" w:cs="Arial" w:eastAsia="Arial" w:hAnsi="Arial"/>
          <w:sz w:val="20"/>
          <w:szCs w:val="20"/>
          <w:i w:val="1"/>
          <w:iCs w:val="1"/>
          <w:color w:val="auto"/>
        </w:rPr>
        <w:t>declaración de cambio</w:t>
      </w:r>
      <w:r>
        <w:rPr>
          <w:rFonts w:ascii="Arial" w:cs="Arial" w:eastAsia="Arial" w:hAnsi="Arial"/>
          <w:sz w:val="20"/>
          <w:szCs w:val="20"/>
          <w:color w:val="auto"/>
        </w:rPr>
        <w:t>). If the Optionee exercises the Option by way of a cashless method of exercise, filing the appropriate foreign exchange form will not be required because no funds will be remitted out of Colombia. However, any sales proceeds related to shares of Common Stock acquired pursuant to cashless exercise must still be transferred through the Colombian foreign exchange market.</w:t>
      </w:r>
    </w:p>
    <w:p>
      <w:pPr>
        <w:spacing w:after="0" w:line="155"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spacing w:after="0" w:line="124" w:lineRule="exact"/>
        <w:rPr>
          <w:sz w:val="20"/>
          <w:szCs w:val="20"/>
          <w:color w:val="auto"/>
        </w:rPr>
      </w:pPr>
    </w:p>
    <w:p>
      <w:pPr>
        <w:spacing w:after="0" w:line="23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Optionee must describe each asset and indicate the jurisdiction in which it is located, its nature and its value.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181" w:lineRule="exact"/>
        <w:rPr>
          <w:sz w:val="20"/>
          <w:szCs w:val="20"/>
          <w:color w:val="auto"/>
        </w:rPr>
      </w:pPr>
    </w:p>
    <w:p>
      <w:pPr>
        <w:spacing w:after="0" w:line="21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80"/>
        <w:spacing w:after="0" w:line="23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Czech residents may be required to fulfill certain notification duties in relation to the Option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and maintenance of a foreign account, including reporting foreign financial assets with a value of CZK 200,000,000 or more. The Optionee should consult their personal legal advisor to ensure compliance with the applicable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1399" w:right="439" w:bottom="1440" w:gutter="0" w:footer="0" w:header="0"/>
        </w:sectPr>
      </w:pPr>
    </w:p>
    <w:bookmarkStart w:id="81" w:name="page82"/>
    <w:bookmarkEnd w:id="81"/>
    <w:p>
      <w:pPr>
        <w:spacing w:after="0" w:line="232"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Optionee acknowledges that he or she has received an Employer Statement in Danish, which sets forth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Option to the extent that the Danish Stock Option Act applies.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80"/>
        <w:spacing w:after="0" w:line="220"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Optionee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transfers funds into or out of Egypt in connection with the Option, the Optionee is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to transfer the funds through a registered bank in Egypt.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There are no specific reporting requirements with respect to foreign assets/accounts.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please note that the Optionee must check their pre-completed 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b w:val="1"/>
          <w:bCs w:val="1"/>
          <w:color w:val="auto"/>
        </w:rPr>
        <w:t xml:space="preserve">Option Not French-Qualified. </w:t>
      </w:r>
      <w:r>
        <w:rPr>
          <w:rFonts w:ascii="Arial" w:cs="Arial" w:eastAsia="Arial" w:hAnsi="Arial"/>
          <w:sz w:val="20"/>
          <w:szCs w:val="20"/>
          <w:color w:val="auto"/>
        </w:rPr>
        <w:t>The Option granted under this Agreement are not intended to qualify for specific tax and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pursuant to Sections L. 225-177 to L. 225-186-1 of the French Commercial Code, as amended.</w:t>
      </w:r>
    </w:p>
    <w:p>
      <w:pPr>
        <w:spacing w:after="0" w:line="149" w:lineRule="exact"/>
        <w:rPr>
          <w:sz w:val="20"/>
          <w:szCs w:val="20"/>
          <w:color w:val="auto"/>
        </w:rPr>
      </w:pPr>
    </w:p>
    <w:p>
      <w:pPr>
        <w:ind w:right="380"/>
        <w:spacing w:after="0" w:line="220"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Optionee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Optionee accepts the terms of those documents accordingly.</w:t>
      </w:r>
    </w:p>
    <w:p>
      <w:pPr>
        <w:spacing w:after="0" w:line="157" w:lineRule="exact"/>
        <w:rPr>
          <w:sz w:val="20"/>
          <w:szCs w:val="20"/>
          <w:color w:val="auto"/>
        </w:rPr>
      </w:pPr>
    </w:p>
    <w:p>
      <w:pPr>
        <w:ind w:right="580"/>
        <w:spacing w:after="0" w:line="333" w:lineRule="auto"/>
        <w:rPr>
          <w:sz w:val="20"/>
          <w:szCs w:val="20"/>
          <w:color w:val="auto"/>
        </w:rPr>
      </w:pPr>
      <w:r>
        <w:rPr>
          <w:rFonts w:ascii="Arial" w:cs="Arial" w:eastAsia="Arial" w:hAnsi="Arial"/>
          <w:sz w:val="16"/>
          <w:szCs w:val="16"/>
          <w:i w:val="1"/>
          <w:iCs w:val="1"/>
          <w:color w:val="auto"/>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Arial" w:cs="Arial" w:eastAsia="Arial" w:hAnsi="Arial"/>
          <w:sz w:val="16"/>
          <w:szCs w:val="16"/>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80"/>
          </w:cols>
          <w:pgMar w:left="320" w:top="1399" w:right="399" w:bottom="1440" w:gutter="0" w:footer="0" w:header="0"/>
        </w:sectPr>
      </w:pPr>
    </w:p>
    <w:bookmarkStart w:id="82" w:name="page83"/>
    <w:bookmarkEnd w:id="82"/>
    <w:p>
      <w:pPr>
        <w:spacing w:after="0" w:line="214"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Optionee holds shares of Common Stock outside France or maintains a foreign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181" w:lineRule="exact"/>
        <w:rPr>
          <w:sz w:val="20"/>
          <w:szCs w:val="20"/>
          <w:color w:val="auto"/>
        </w:rPr>
      </w:pPr>
    </w:p>
    <w:p>
      <w:pPr>
        <w:ind w:right="20"/>
        <w:spacing w:after="0" w:line="21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20"/>
        <w:spacing w:after="0" w:line="270"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Cross-border payments in excess of €12,500 must be reported monthly to the German Federal Bank. In</w:t>
      </w:r>
      <w:r>
        <w:rPr>
          <w:rFonts w:ascii="Arial" w:cs="Arial" w:eastAsia="Arial" w:hAnsi="Arial"/>
          <w:sz w:val="16"/>
          <w:szCs w:val="16"/>
          <w:b w:val="1"/>
          <w:bCs w:val="1"/>
          <w:color w:val="auto"/>
        </w:rPr>
        <w:t xml:space="preserve"> </w:t>
      </w:r>
      <w:r>
        <w:rPr>
          <w:rFonts w:ascii="Arial" w:cs="Arial" w:eastAsia="Arial" w:hAnsi="Arial"/>
          <w:sz w:val="16"/>
          <w:szCs w:val="16"/>
          <w:color w:val="auto"/>
        </w:rPr>
        <w:t>case of payments in connection with securities (including payment of the Grant Price and the proceeds realized upon the sale of shares of Common Stock), the report must be made by the 5th day of the month following the month in which the payment was made/received. The report must be filed electronically.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xml:space="preserve">”) can be accessed via the </w:t>
      </w:r>
      <w:r>
        <w:rPr>
          <w:rFonts w:ascii="Arial" w:cs="Arial" w:eastAsia="Arial" w:hAnsi="Arial"/>
          <w:sz w:val="16"/>
          <w:szCs w:val="16"/>
          <w:i w:val="1"/>
          <w:iCs w:val="1"/>
          <w:color w:val="auto"/>
        </w:rPr>
        <w:t>Bundesbank’s</w:t>
      </w:r>
      <w:r>
        <w:rPr>
          <w:rFonts w:ascii="Arial" w:cs="Arial" w:eastAsia="Arial" w:hAnsi="Arial"/>
          <w:sz w:val="16"/>
          <w:szCs w:val="16"/>
          <w:color w:val="auto"/>
        </w:rPr>
        <w:t xml:space="preserve"> website (</w:t>
      </w:r>
      <w:r>
        <w:rPr>
          <w:rFonts w:ascii="Arial" w:cs="Arial" w:eastAsia="Arial" w:hAnsi="Arial"/>
          <w:sz w:val="16"/>
          <w:szCs w:val="16"/>
          <w:u w:val="single" w:color="auto"/>
          <w:color w:val="auto"/>
        </w:rPr>
        <w:t>www.bundesbank.de</w:t>
      </w:r>
      <w:r>
        <w:rPr>
          <w:rFonts w:ascii="Arial" w:cs="Arial" w:eastAsia="Arial" w:hAnsi="Arial"/>
          <w:sz w:val="16"/>
          <w:szCs w:val="16"/>
          <w:color w:val="auto"/>
        </w:rPr>
        <w:t>) and is available in both German and English. The Optionee is responsible for satisfying the reporting obligation.</w:t>
      </w:r>
    </w:p>
    <w:p>
      <w:pPr>
        <w:spacing w:after="0" w:line="1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German residents holding Common Stock must notify their local tax office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Common Stock under the Plan leads to a so-called qualified participation at any point during the calendar year. A qualified participation is attained only in the unlikely event (i) the Optionee owns at least 1% of the Company and the value of the Common Stock acquired exceeds €150,000, or (ii) the Optionee holds Common Stock exceeding 10% of the total capital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exercises the Options through a cash exercise, withdraws funds from a bank in Greece and</w:t>
      </w:r>
      <w:r>
        <w:rPr>
          <w:rFonts w:ascii="Arial" w:cs="Arial" w:eastAsia="Arial" w:hAnsi="Arial"/>
          <w:sz w:val="20"/>
          <w:szCs w:val="20"/>
          <w:b w:val="1"/>
          <w:bCs w:val="1"/>
          <w:color w:val="auto"/>
        </w:rPr>
        <w:t xml:space="preserve"> </w:t>
      </w:r>
      <w:r>
        <w:rPr>
          <w:rFonts w:ascii="Arial" w:cs="Arial" w:eastAsia="Arial" w:hAnsi="Arial"/>
          <w:sz w:val="20"/>
          <w:szCs w:val="20"/>
          <w:color w:val="auto"/>
        </w:rPr>
        <w:t>remits those funds out of Greece (in an amount exceeding a specified threshold), the Optionee may be required to submit a written application to the bank.</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60"/>
          </w:cols>
          <w:pgMar w:left="320" w:top="1399" w:right="419" w:bottom="1440" w:gutter="0" w:footer="0" w:header="0"/>
        </w:sectPr>
      </w:pPr>
    </w:p>
    <w:bookmarkStart w:id="83" w:name="page84"/>
    <w:bookmarkEnd w:id="83"/>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0"/>
        <w:spacing w:after="0" w:line="216"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i w:val="1"/>
          <w:iCs w:val="1"/>
          <w:color w:val="auto"/>
        </w:rPr>
        <w:t>Warning: The contents of this document have not been reviewed by any regulatory authority in Hong Kong.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55"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b w:val="1"/>
          <w:bCs w:val="1"/>
          <w:color w:val="auto"/>
        </w:rPr>
        <w:t xml:space="preserve">Sale of Shares. </w:t>
      </w:r>
      <w:r>
        <w:rPr>
          <w:rFonts w:ascii="Arial" w:cs="Arial" w:eastAsia="Arial" w:hAnsi="Arial"/>
          <w:sz w:val="20"/>
          <w:szCs w:val="20"/>
          <w:color w:val="auto"/>
        </w:rPr>
        <w:t>Shares of Common Stock received under the Plan are accepted as a personal investment. In the event the Option vests within</w:t>
      </w:r>
      <w:r>
        <w:rPr>
          <w:rFonts w:ascii="Arial" w:cs="Arial" w:eastAsia="Arial" w:hAnsi="Arial"/>
          <w:sz w:val="20"/>
          <w:szCs w:val="20"/>
          <w:b w:val="1"/>
          <w:bCs w:val="1"/>
          <w:color w:val="auto"/>
        </w:rPr>
        <w:t xml:space="preserve"> </w:t>
      </w:r>
      <w:r>
        <w:rPr>
          <w:rFonts w:ascii="Arial" w:cs="Arial" w:eastAsia="Arial" w:hAnsi="Arial"/>
          <w:sz w:val="20"/>
          <w:szCs w:val="20"/>
          <w:color w:val="auto"/>
        </w:rPr>
        <w:t>six months of the Grant Date, the Optionee agrees that he or she will not exercise the Option and sell the shares of Common Stock acquired prior to the six-month anniversary of the Grant Date.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80"/>
        <w:spacing w:after="0" w:line="211" w:lineRule="auto"/>
        <w:rPr>
          <w:sz w:val="20"/>
          <w:szCs w:val="20"/>
          <w:color w:val="auto"/>
        </w:rPr>
      </w:pPr>
      <w:r>
        <w:rPr>
          <w:rFonts w:ascii="Arial" w:cs="Arial" w:eastAsia="Arial" w:hAnsi="Arial"/>
          <w:sz w:val="20"/>
          <w:szCs w:val="20"/>
          <w:b w:val="1"/>
          <w:bCs w:val="1"/>
          <w:color w:val="auto"/>
        </w:rPr>
        <w:t>Exchange Control Restrictions</w:t>
      </w:r>
      <w:r>
        <w:rPr>
          <w:rFonts w:ascii="Arial" w:cs="Arial" w:eastAsia="Arial" w:hAnsi="Arial"/>
          <w:sz w:val="20"/>
          <w:szCs w:val="20"/>
          <w:color w:val="auto"/>
        </w:rPr>
        <w:t>. Due to exchange control laws, the Optionee will not be permitted to exercise an Option by using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cashless sell-to-cover method of exercise, whereby the Optionee instructs the broker to sell a sufficient number of shares of Common Stock to cover the Grant Price, brokerage fees and any applicable Tax-Related Items, and the Optionee receives only the remaining shares of Common Stock subject to the exercised Option. In the event of changes in exchange control laws, the Company reserves the right to permit cashless sell-to-cover exercises for Options.</w:t>
      </w:r>
    </w:p>
    <w:p>
      <w:pPr>
        <w:spacing w:after="0" w:line="156" w:lineRule="exact"/>
        <w:rPr>
          <w:sz w:val="20"/>
          <w:szCs w:val="20"/>
          <w:color w:val="auto"/>
        </w:rPr>
      </w:pPr>
    </w:p>
    <w:p>
      <w:pPr>
        <w:ind w:right="60"/>
        <w:spacing w:after="0" w:line="221" w:lineRule="auto"/>
        <w:rPr>
          <w:sz w:val="20"/>
          <w:szCs w:val="20"/>
          <w:color w:val="auto"/>
        </w:rPr>
      </w:pPr>
      <w:r>
        <w:rPr>
          <w:rFonts w:ascii="Arial" w:cs="Arial" w:eastAsia="Arial" w:hAnsi="Arial"/>
          <w:sz w:val="19"/>
          <w:szCs w:val="19"/>
          <w:color w:val="auto"/>
        </w:rPr>
        <w:t>Regardless of the method of exercise the Optionee uses to exercise Options, the Optionee must repatriate any cash dividends paid on shares of Common Stock and/or the proceeds from the sale of shares of Common Stock to India within the required time periods specified under applicable Indian exchange control regulations. The Optionee must maintain the foreign inward remittance certificate received from the bank where the foreign currency is deposited in the event that the Reserve Bank of India or the Employer requests proof of repatriation. It is the Optionee’s responsibility to comply with applicable exchange control laws in India.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100"/>
        <w:spacing w:after="0" w:line="24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jc w:val="both"/>
        <w:spacing w:after="0" w:line="310" w:lineRule="auto"/>
        <w:rPr>
          <w:sz w:val="20"/>
          <w:szCs w:val="20"/>
          <w:color w:val="auto"/>
        </w:rPr>
      </w:pPr>
      <w:r>
        <w:rPr>
          <w:rFonts w:ascii="Arial" w:cs="Arial" w:eastAsia="Arial" w:hAnsi="Arial"/>
          <w:sz w:val="18"/>
          <w:szCs w:val="18"/>
          <w:b w:val="1"/>
          <w:bCs w:val="1"/>
          <w:color w:val="auto"/>
        </w:rPr>
        <w:t>Language Consent and Notification</w:t>
      </w:r>
      <w:r>
        <w:rPr>
          <w:rFonts w:ascii="Arial" w:cs="Arial" w:eastAsia="Arial" w:hAnsi="Arial"/>
          <w:sz w:val="18"/>
          <w:szCs w:val="18"/>
          <w:color w:val="auto"/>
        </w:rPr>
        <w:t>. A translation of the documents relating to this grant into Bahasa Indonesia can be provided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Optionee upon request to Daning Novianti, My Rewards Advisor ID, at </w:t>
      </w:r>
      <w:r>
        <w:rPr>
          <w:rFonts w:ascii="Arial" w:cs="Arial" w:eastAsia="Arial" w:hAnsi="Arial"/>
          <w:sz w:val="18"/>
          <w:szCs w:val="18"/>
          <w:u w:val="single" w:color="auto"/>
          <w:color w:val="auto"/>
        </w:rPr>
        <w:t>Daning.Novianti@mdlz.com</w:t>
      </w:r>
      <w:r>
        <w:rPr>
          <w:rFonts w:ascii="Arial" w:cs="Arial" w:eastAsia="Arial" w:hAnsi="Arial"/>
          <w:sz w:val="18"/>
          <w:szCs w:val="18"/>
          <w:color w:val="auto"/>
        </w:rPr>
        <w:t>. By accepting the grant, the Optionee (i) confirms having read and understood the documents relating to this grant (i.e., the Plan and the Agreement) which were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05" w:right="339" w:bottom="144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20"/>
          <w:szCs w:val="20"/>
          <w:color w:val="auto"/>
        </w:rPr>
        <w:t>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53"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b w:val="1"/>
          <w:bCs w:val="1"/>
          <w:color w:val="auto"/>
        </w:rPr>
        <w:t xml:space="preserve">Language Consent and Notification. </w:t>
      </w:r>
      <w:r>
        <w:rPr>
          <w:rFonts w:ascii="Arial" w:cs="Arial" w:eastAsia="Arial" w:hAnsi="Arial"/>
          <w:sz w:val="18"/>
          <w:szCs w:val="18"/>
          <w:color w:val="auto"/>
        </w:rPr>
        <w:t>Terjemahan dari dokumen-dokumen terkait dengan pemberian ini ke Bahasa Indonesia dapat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disediakan untuk anda berdasarkan permintaan kepada Daning Novianti, My Rewards Advisor ID, di Daning.Novianti@mdlz.com. Dengan </w:t>
      </w:r>
      <w:r>
        <w:rPr>
          <w:rFonts w:ascii="Arial" w:cs="Arial" w:eastAsia="Arial" w:hAnsi="Arial"/>
          <w:sz w:val="18"/>
          <w:szCs w:val="18"/>
          <w:color w:val="auto"/>
          <w:highlight w:val="white"/>
        </w:rPr>
        <w:t>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58" w:lineRule="exact"/>
        <w:rPr>
          <w:sz w:val="20"/>
          <w:szCs w:val="20"/>
          <w:color w:val="auto"/>
        </w:rPr>
      </w:pPr>
    </w:p>
    <w:p>
      <w:pPr>
        <w:ind w:right="180"/>
        <w:spacing w:after="0" w:line="210" w:lineRule="auto"/>
        <w:rPr>
          <w:sz w:val="20"/>
          <w:szCs w:val="20"/>
          <w:color w:val="auto"/>
        </w:rPr>
      </w:pPr>
      <w:r>
        <w:rPr>
          <w:rFonts w:ascii="Arial" w:cs="Arial" w:eastAsia="Arial" w:hAnsi="Arial"/>
          <w:sz w:val="20"/>
          <w:szCs w:val="20"/>
          <w:color w:val="auto"/>
        </w:rPr>
        <w:t>In addition, if the Optionee remits funds into or out of Indonesia, the Indonesian bank through which the transaction is made will submit a report on the transaction to the Bank of Indonesia for statistical reporting purposes. For transactions of US $10,000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w:t>
      </w:r>
    </w:p>
    <w:p>
      <w:pPr>
        <w:spacing w:after="0" w:line="149" w:lineRule="exact"/>
        <w:rPr>
          <w:sz w:val="20"/>
          <w:szCs w:val="20"/>
          <w:color w:val="auto"/>
        </w:rPr>
      </w:pPr>
    </w:p>
    <w:p>
      <w:pPr>
        <w:ind w:right="420"/>
        <w:spacing w:after="0" w:line="249"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Indonesian residents have the obligation to report worldwide assets (including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and shares of Common Stock acquired under the Plan) in their annual individual income tax return.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181" w:lineRule="exact"/>
        <w:rPr>
          <w:sz w:val="20"/>
          <w:szCs w:val="20"/>
          <w:color w:val="auto"/>
        </w:rPr>
      </w:pPr>
    </w:p>
    <w:p>
      <w:pPr>
        <w:ind w:right="100"/>
        <w:spacing w:after="0" w:line="21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380"/>
        <w:spacing w:after="0" w:line="208"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Optionee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must notify the Irish subsidiary or affiliate in writing if (1) the Optionee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32" w:right="339" w:bottom="1440" w:gutter="0" w:footer="0" w:header="0"/>
        </w:sectPr>
      </w:pPr>
    </w:p>
    <w:bookmarkStart w:id="85" w:name="page86"/>
    <w:bookmarkEnd w:id="85"/>
    <w:p>
      <w:pPr>
        <w:spacing w:after="0"/>
        <w:rPr>
          <w:sz w:val="20"/>
          <w:szCs w:val="20"/>
          <w:color w:val="auto"/>
        </w:rPr>
      </w:pPr>
      <w:r>
        <w:rPr>
          <w:rFonts w:ascii="Arial" w:cs="Arial" w:eastAsia="Arial" w:hAnsi="Arial"/>
          <w:sz w:val="20"/>
          <w:szCs w:val="20"/>
          <w:b w:val="1"/>
          <w:bCs w:val="1"/>
          <w:u w:val="single" w:color="auto"/>
          <w:color w:val="auto"/>
        </w:rPr>
        <w:t>ISRAEL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Notwithstanding anything to the contrary in the Agreement, the Optionee will be required to pay the Grant Price by a</w:t>
      </w:r>
      <w:r>
        <w:rPr>
          <w:rFonts w:ascii="Arial" w:cs="Arial" w:eastAsia="Arial" w:hAnsi="Arial"/>
          <w:sz w:val="18"/>
          <w:szCs w:val="18"/>
          <w:b w:val="1"/>
          <w:bCs w:val="1"/>
          <w:color w:val="auto"/>
        </w:rPr>
        <w:t xml:space="preserve"> </w:t>
      </w:r>
      <w:r>
        <w:rPr>
          <w:rFonts w:ascii="Arial" w:cs="Arial" w:eastAsia="Arial" w:hAnsi="Arial"/>
          <w:sz w:val="18"/>
          <w:szCs w:val="18"/>
          <w:color w:val="auto"/>
        </w:rPr>
        <w:t>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offer of this option does not constitute a public offering under the Securities Law, 1968.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20"/>
        <w:spacing w:after="0" w:line="222" w:lineRule="auto"/>
        <w:rPr>
          <w:sz w:val="20"/>
          <w:szCs w:val="20"/>
          <w:color w:val="auto"/>
        </w:rPr>
      </w:pPr>
      <w:r>
        <w:rPr>
          <w:rFonts w:ascii="Arial" w:cs="Arial" w:eastAsia="Arial" w:hAnsi="Arial"/>
          <w:sz w:val="19"/>
          <w:szCs w:val="19"/>
          <w:b w:val="1"/>
          <w:bCs w:val="1"/>
          <w:color w:val="auto"/>
        </w:rPr>
        <w:t xml:space="preserve">Cashless Exercise Restriction. </w:t>
      </w:r>
      <w:r>
        <w:rPr>
          <w:rFonts w:ascii="Arial" w:cs="Arial" w:eastAsia="Arial" w:hAnsi="Arial"/>
          <w:sz w:val="19"/>
          <w:szCs w:val="19"/>
          <w:color w:val="auto"/>
        </w:rPr>
        <w:t>Notwithstanding anything to the contrary in the Agreement, due to regulatory requirements in Italy,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50"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b w:val="1"/>
          <w:bCs w:val="1"/>
          <w:color w:val="auto"/>
        </w:rPr>
        <w:t xml:space="preserve">Plan Document Acknowledgment. </w:t>
      </w:r>
      <w:r>
        <w:rPr>
          <w:rFonts w:ascii="Arial" w:cs="Arial" w:eastAsia="Arial" w:hAnsi="Arial"/>
          <w:sz w:val="20"/>
          <w:szCs w:val="20"/>
          <w:color w:val="auto"/>
        </w:rPr>
        <w:t>In accepting the grant of the Option, the Optionee acknowledges that he or she has received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Agreement and has reviewed the Plan and the Agreement, including this Appendix A, in their entirety and fully understands and accepts all provisions of the Plan and the Agreement, including this Appendix A.</w:t>
      </w:r>
    </w:p>
    <w:p>
      <w:pPr>
        <w:spacing w:after="0" w:line="157" w:lineRule="exact"/>
        <w:rPr>
          <w:sz w:val="20"/>
          <w:szCs w:val="20"/>
          <w:color w:val="auto"/>
        </w:rPr>
      </w:pPr>
    </w:p>
    <w:p>
      <w:pPr>
        <w:ind w:right="100"/>
        <w:spacing w:after="0" w:line="216" w:lineRule="auto"/>
        <w:rPr>
          <w:sz w:val="20"/>
          <w:szCs w:val="20"/>
          <w:color w:val="auto"/>
        </w:rPr>
      </w:pPr>
      <w:r>
        <w:rPr>
          <w:rFonts w:ascii="Arial" w:cs="Arial" w:eastAsia="Arial" w:hAnsi="Arial"/>
          <w:sz w:val="19"/>
          <w:szCs w:val="19"/>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2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Options), are beneficial owners of the investment pursuant to Italian money laundering provisions.</w:t>
      </w:r>
    </w:p>
    <w:p>
      <w:pPr>
        <w:spacing w:after="0" w:line="150" w:lineRule="exact"/>
        <w:rPr>
          <w:sz w:val="20"/>
          <w:szCs w:val="20"/>
          <w:color w:val="auto"/>
        </w:rPr>
      </w:pPr>
    </w:p>
    <w:p>
      <w:pPr>
        <w:spacing w:after="0" w:line="220"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320" w:top="1399" w:right="359" w:bottom="1440" w:gutter="0" w:footer="0" w:header="0"/>
        </w:sectPr>
      </w:pPr>
    </w:p>
    <w:bookmarkStart w:id="86" w:name="page87"/>
    <w:bookmarkEnd w:id="86"/>
    <w:p>
      <w:pPr>
        <w:jc w:val="both"/>
        <w:ind w:right="240"/>
        <w:spacing w:after="0" w:line="218" w:lineRule="auto"/>
        <w:rPr>
          <w:sz w:val="20"/>
          <w:szCs w:val="20"/>
          <w:color w:val="auto"/>
        </w:rPr>
      </w:pPr>
      <w:r>
        <w:rPr>
          <w:rFonts w:ascii="Arial" w:cs="Arial" w:eastAsia="Arial" w:hAnsi="Arial"/>
          <w:sz w:val="20"/>
          <w:szCs w:val="20"/>
          <w:color w:val="auto"/>
        </w:rPr>
        <w:t>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acquires shares of Common Stock valued at more than ¥100,000,000 in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the Optionee must file a Securities Acquisition Report with the Ministry of Finance through the Bank of Japan within 20 days of the purchase of the shares of Common Stock.</w:t>
      </w:r>
    </w:p>
    <w:p>
      <w:pPr>
        <w:spacing w:after="0" w:line="157" w:lineRule="exact"/>
        <w:rPr>
          <w:sz w:val="20"/>
          <w:szCs w:val="20"/>
          <w:color w:val="auto"/>
        </w:rPr>
      </w:pPr>
    </w:p>
    <w:p>
      <w:pPr>
        <w:ind w:right="20"/>
        <w:spacing w:after="0" w:line="200" w:lineRule="auto"/>
        <w:rPr>
          <w:sz w:val="20"/>
          <w:szCs w:val="20"/>
          <w:color w:val="auto"/>
        </w:rPr>
      </w:pPr>
      <w:r>
        <w:rPr>
          <w:rFonts w:ascii="Arial" w:cs="Arial" w:eastAsia="Arial" w:hAnsi="Arial"/>
          <w:sz w:val="20"/>
          <w:szCs w:val="20"/>
          <w:color w:val="auto"/>
        </w:rPr>
        <w:t>In addition, if the Optionee pays more than ¥30,000,000 in a single transaction for the purchase of shares of Common Stock when the Optionee exercises the Option, the Optionee must file a Payment Report with the Ministry of Finance through the Bank of Japan by the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month following the month in which the payment was made. The precise reporting requirements vary depending on whether or not the relevant payment is made through a bank in Japan.</w:t>
      </w:r>
    </w:p>
    <w:p>
      <w:pPr>
        <w:spacing w:after="0" w:line="157" w:lineRule="exact"/>
        <w:rPr>
          <w:sz w:val="20"/>
          <w:szCs w:val="20"/>
          <w:color w:val="auto"/>
        </w:rPr>
      </w:pPr>
    </w:p>
    <w:p>
      <w:pPr>
        <w:ind w:right="40"/>
        <w:spacing w:after="0" w:line="218" w:lineRule="auto"/>
        <w:rPr>
          <w:sz w:val="20"/>
          <w:szCs w:val="20"/>
          <w:color w:val="auto"/>
        </w:rPr>
      </w:pPr>
      <w:r>
        <w:rPr>
          <w:rFonts w:ascii="Arial" w:cs="Arial" w:eastAsia="Arial" w:hAnsi="Arial"/>
          <w:sz w:val="20"/>
          <w:szCs w:val="20"/>
          <w:color w:val="auto"/>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spacing w:after="0" w:line="150" w:lineRule="exact"/>
        <w:rPr>
          <w:sz w:val="20"/>
          <w:szCs w:val="20"/>
          <w:color w:val="auto"/>
        </w:rPr>
      </w:pPr>
    </w:p>
    <w:p>
      <w:pPr>
        <w:spacing w:after="0" w:line="22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Optionee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KAZAKHSTAN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This offer is addressed only to certain eligible employees in the form of the shares of Common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Company. Neither the Plan nor the Agreement has been approved, nor do they need to be approved, by the National Bank of Kazakhstan. This offer is intended only for the original recipient and is not for general circulation in the Republic of Kazakhstan.</w:t>
      </w:r>
    </w:p>
    <w:p>
      <w:pPr>
        <w:spacing w:after="0" w:line="171" w:lineRule="exact"/>
        <w:rPr>
          <w:sz w:val="20"/>
          <w:szCs w:val="20"/>
          <w:color w:val="auto"/>
        </w:rPr>
      </w:pPr>
    </w:p>
    <w:p>
      <w:pPr>
        <w:ind w:right="320"/>
        <w:spacing w:after="0" w:line="249"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Residents of Kazakhstan may be required to notify the National Bank of Kazakhstan when they acquire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under the Plan if the value of such shares of Common Stock exceeds US $100,000.</w:t>
      </w:r>
    </w:p>
    <w:p>
      <w:pPr>
        <w:spacing w:after="0" w:line="174" w:lineRule="exact"/>
        <w:rPr>
          <w:sz w:val="20"/>
          <w:szCs w:val="20"/>
          <w:color w:val="auto"/>
        </w:rPr>
      </w:pPr>
    </w:p>
    <w:p>
      <w:pPr>
        <w:ind w:right="120"/>
        <w:spacing w:after="0" w:line="213" w:lineRule="auto"/>
        <w:rPr>
          <w:sz w:val="20"/>
          <w:szCs w:val="20"/>
          <w:color w:val="auto"/>
        </w:rPr>
      </w:pPr>
      <w:r>
        <w:rPr>
          <w:rFonts w:ascii="Arial" w:cs="Arial" w:eastAsia="Arial" w:hAnsi="Arial"/>
          <w:sz w:val="20"/>
          <w:szCs w:val="20"/>
          <w:color w:val="auto"/>
        </w:rPr>
        <w:t>Please note that the exchange control regulations in Kazakhstan are subject to change. The Optionee should consult with their personal legal advisor regarding any exchange control obligations that the Optionee may have prior to exercising the option or receiving proceeds from the sale of shares of Common Stock acquired under the Plan. The Optionee is responsible for ensuring compliance with all exchange control laws in Kazakhstan.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Optionee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first exercise of the Option. The registration should be completed through the online portal “I TAX” and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05" w:right="339" w:bottom="1440" w:gutter="0" w:footer="0" w:header="0"/>
        </w:sectPr>
      </w:pPr>
    </w:p>
    <w:bookmarkStart w:id="87" w:name="page88"/>
    <w:bookmarkEnd w:id="87"/>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one-time only registration. The Optionee is solely responsible for ensuring compliance with all registration requirements in Kenya.</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4057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40575" cy="17145"/>
                    </a:xfrm>
                    <a:prstGeom prst="rect">
                      <a:avLst/>
                    </a:prstGeom>
                    <a:noFill/>
                  </pic:spPr>
                </pic:pic>
              </a:graphicData>
            </a:graphic>
          </wp:anchor>
        </w:drawing>
      </w:r>
    </w:p>
    <w:p>
      <w:pPr>
        <w:sectPr>
          <w:pgSz w:w="11900" w:h="16967" w:orient="portrait"/>
          <w:cols w:equalWidth="0" w:num="1">
            <w:col w:w="11180"/>
          </w:cols>
          <w:pgMar w:left="320" w:top="1405" w:right="399" w:bottom="0" w:gutter="0" w:footer="0" w:header="0"/>
        </w:sectPr>
      </w:pPr>
    </w:p>
    <w:p>
      <w:pPr>
        <w:spacing w:after="0" w:line="249" w:lineRule="exact"/>
        <w:rPr>
          <w:sz w:val="20"/>
          <w:szCs w:val="20"/>
          <w:color w:val="auto"/>
        </w:rPr>
      </w:pPr>
    </w:p>
    <w:p>
      <w:pPr>
        <w:ind w:left="80"/>
        <w:spacing w:after="0" w:line="257" w:lineRule="auto"/>
        <w:rPr>
          <w:sz w:val="20"/>
          <w:szCs w:val="20"/>
          <w:color w:val="auto"/>
        </w:rPr>
      </w:pPr>
      <w:r>
        <w:rPr>
          <w:rFonts w:ascii="Arial" w:cs="Arial" w:eastAsia="Arial" w:hAnsi="Arial"/>
          <w:sz w:val="16"/>
          <w:szCs w:val="16"/>
          <w:b w:val="1"/>
          <w:bCs w:val="1"/>
          <w:i w:val="1"/>
          <w:iCs w:val="1"/>
          <w:color w:val="auto"/>
        </w:rPr>
        <w:t>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as applicable, the Employer and the Mondelēz Group for the exclusive purpose of implementing, administering and managing the Optionee’s participation in the Plan. The Data is supplied by the Employer and also by the Optionee through information collected in connection with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-1106170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-1089025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-1071880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-1054735</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-1037590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-1020445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-986155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-969010</wp:posOffset>
            </wp:positionV>
            <wp:extent cx="88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-934720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-917575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-900430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-866140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-848995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-780415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-728980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8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88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4" w:lineRule="exact"/>
        <w:rPr>
          <w:sz w:val="20"/>
          <w:szCs w:val="20"/>
          <w:color w:val="auto"/>
        </w:rPr>
      </w:pPr>
    </w:p>
    <w:p>
      <w:pPr>
        <w:ind w:left="80" w:right="140"/>
        <w:spacing w:after="0" w:line="256" w:lineRule="auto"/>
        <w:rPr>
          <w:sz w:val="20"/>
          <w:szCs w:val="20"/>
          <w:color w:val="auto"/>
        </w:rPr>
      </w:pPr>
      <w:r>
        <w:rPr>
          <w:rFonts w:ascii="Arial" w:cs="Arial" w:eastAsia="Arial" w:hAnsi="Arial"/>
          <w:sz w:val="16"/>
          <w:szCs w:val="16"/>
          <w:b w:val="1"/>
          <w:bCs w:val="1"/>
          <w:i w:val="1"/>
          <w:iCs w:val="1"/>
          <w:color w:val="auto"/>
        </w:rPr>
        <w:t>The Optionee understands that the Company and the Employer may hold certain personal information about the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both"/>
        <w:spacing w:after="0" w:line="213" w:lineRule="auto"/>
        <w:rPr>
          <w:sz w:val="20"/>
          <w:szCs w:val="20"/>
          <w:color w:val="auto"/>
        </w:rPr>
      </w:pPr>
      <w:r>
        <w:rPr>
          <w:rFonts w:ascii="Arial" w:cs="Arial" w:eastAsia="Arial" w:hAnsi="Arial"/>
          <w:sz w:val="19"/>
          <w:szCs w:val="19"/>
          <w:b w:val="1"/>
          <w:bCs w:val="1"/>
          <w:i w:val="1"/>
          <w:iCs w:val="1"/>
          <w:color w:val="auto"/>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w:t>
      </w:r>
      <w:r>
        <w:rPr>
          <w:rFonts w:ascii="Arial" w:cs="Arial" w:eastAsia="Arial" w:hAnsi="Arial"/>
          <w:sz w:val="19"/>
          <w:szCs w:val="19"/>
          <w:b w:val="1"/>
          <w:bCs w:val="1"/>
          <w:i w:val="1"/>
          <w:iCs w:val="1"/>
          <w:u w:val="single" w:color="auto"/>
          <w:color w:val="auto"/>
        </w:rPr>
        <w:t>Data</w:t>
      </w:r>
      <w:r>
        <w:rPr>
          <w:rFonts w:ascii="Arial" w:cs="Arial" w:eastAsia="Arial" w:hAnsi="Arial"/>
          <w:sz w:val="19"/>
          <w:szCs w:val="19"/>
          <w:b w:val="1"/>
          <w:bCs w:val="1"/>
          <w:i w:val="1"/>
          <w:iCs w:val="1"/>
          <w:color w:val="auto"/>
        </w:rPr>
        <w:t>”)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-1334770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-1317625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-1300480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-1283335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-1266190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-1249045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-1231900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-1214755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-1197610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-1180465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-1163320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-1146175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-1129030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-1111885</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-1094740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-1077595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-1060450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-1043305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-1026160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-1009015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-991870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-974725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-957580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-940435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-923290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-906145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-889000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-871855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-854710</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-837565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-820420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-803275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-786130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-768985</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-751840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-734695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-717550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-700405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-683260</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-666115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-648970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-631825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-614680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-597535</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-580390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-563245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-546100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-528955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-511810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-494665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-477520</wp:posOffset>
            </wp:positionV>
            <wp:extent cx="8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-460375</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-443230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-426085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-408940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-391795</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-374650</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-357505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-340360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-323215</wp:posOffset>
            </wp:positionV>
            <wp:extent cx="8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-306070</wp:posOffset>
            </wp:positionV>
            <wp:extent cx="82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-288925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-271780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-254635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-237490</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-220345</wp:posOffset>
            </wp:positionV>
            <wp:extent cx="8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-203200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-186055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-168910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-151765</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-134620</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-117475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-100330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-83185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-66040</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-48895</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-31750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-14605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1905</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19050</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36195</wp:posOffset>
            </wp:positionV>
            <wp:extent cx="82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53340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70485</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87630</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104775</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-1334770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-1317625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-1300480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-1283335</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-1266190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-1249045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-1231900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-1214755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-1197610</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-1180465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-1163320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-1146175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-1129030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-1111885</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-1094740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-1077595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-1060450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-1043305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-1026160</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-1009015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-991870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-974725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-957580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-940435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-923290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-906145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-889000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-871855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-854710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-837565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-820420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-803275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-786130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-768985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-751840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-734695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-717550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-700405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-683260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-666115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-648970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-631825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-614680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-597535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-580390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-563245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-546100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-528955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-511810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-494665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-477520</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-460375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-443230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-426085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-408940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-391795</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-374650</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-357505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-340360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-323215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-306070</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-288925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-271780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-254635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-237490</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-220345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-203200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-186055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-168910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-151765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-134620</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-117475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-100330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-83185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-66040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-48895</wp:posOffset>
            </wp:positionV>
            <wp:extent cx="889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-31750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-14605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1905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19050</wp:posOffset>
            </wp:positionV>
            <wp:extent cx="88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36195</wp:posOffset>
            </wp:positionV>
            <wp:extent cx="88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53340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70485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87630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104775</wp:posOffset>
            </wp:positionV>
            <wp:extent cx="889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77" w:lineRule="exact"/>
        <w:rPr>
          <w:sz w:val="20"/>
          <w:szCs w:val="20"/>
          <w:color w:val="auto"/>
        </w:rPr>
      </w:pPr>
    </w:p>
    <w:p>
      <w:pPr>
        <w:sectPr>
          <w:pgSz w:w="11900" w:h="16967" w:orient="portrait"/>
          <w:cols w:equalWidth="0" w:num="2">
            <w:col w:w="5380" w:space="280"/>
            <w:col w:w="5520"/>
          </w:cols>
          <w:pgMar w:left="320" w:top="1405" w:right="399" w:bottom="0" w:gutter="0" w:footer="0" w:header="0"/>
          <w:type w:val="continuous"/>
        </w:sectPr>
      </w:pPr>
    </w:p>
    <w:tbl>
      <w:tblPr>
        <w:tblLayout w:type="fixed"/>
        <w:tblInd w:w="80" w:type="dxa"/>
        <w:tblCellMar>
          <w:top w:w="0" w:type="dxa"/>
          <w:left w:w="0" w:type="dxa"/>
          <w:bottom w:w="0" w:type="dxa"/>
          <w:right w:w="0" w:type="dxa"/>
        </w:tblCellMar>
      </w:tblPr>
      <w:tr>
        <w:trPr>
          <w:trHeight w:val="178"/>
        </w:trPr>
        <w:tc>
          <w:tcPr>
            <w:tcW w:w="5500" w:type="dxa"/>
            <w:vAlign w:val="bottom"/>
            <w:gridSpan w:val="3"/>
          </w:tcPr>
          <w:p>
            <w:pPr>
              <w:spacing w:after="0" w:line="178" w:lineRule="exact"/>
              <w:rPr>
                <w:sz w:val="20"/>
                <w:szCs w:val="20"/>
                <w:color w:val="auto"/>
              </w:rPr>
            </w:pPr>
            <w:r>
              <w:rPr>
                <w:rFonts w:ascii="Arial" w:cs="Arial" w:eastAsia="Arial" w:hAnsi="Arial"/>
                <w:sz w:val="20"/>
                <w:szCs w:val="20"/>
                <w:b w:val="1"/>
                <w:bCs w:val="1"/>
                <w:i w:val="1"/>
                <w:iCs w:val="1"/>
                <w:color w:val="auto"/>
                <w:w w:val="88"/>
              </w:rPr>
              <w:t>including, but not limited to, the Optionee’s name, home address,</w:t>
            </w:r>
          </w:p>
        </w:tc>
        <w:tc>
          <w:tcPr>
            <w:tcW w:w="5600" w:type="dxa"/>
            <w:vAlign w:val="bottom"/>
            <w:gridSpan w:val="6"/>
          </w:tcPr>
          <w:p>
            <w:pPr>
              <w:ind w:left="80"/>
              <w:spacing w:after="0" w:line="178" w:lineRule="exact"/>
              <w:rPr>
                <w:sz w:val="20"/>
                <w:szCs w:val="20"/>
                <w:color w:val="auto"/>
              </w:rPr>
            </w:pPr>
            <w:r>
              <w:rPr>
                <w:rFonts w:ascii="Arial" w:cs="Arial" w:eastAsia="Arial" w:hAnsi="Arial"/>
                <w:sz w:val="20"/>
                <w:szCs w:val="20"/>
                <w:b w:val="1"/>
                <w:bCs w:val="1"/>
                <w:i w:val="1"/>
                <w:iCs w:val="1"/>
                <w:color w:val="auto"/>
                <w:w w:val="92"/>
              </w:rPr>
              <w:t>Penerima  Opsyen  memahami  bahawa  Syarikat  dan  Majikan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rPr>
              <w:t>email address and telephone number, date of birth, social</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6"/>
              </w:rPr>
              <w:t>mungkin memegang maklumat peribadi tertentu Penerima Opsyen,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6"/>
              </w:rPr>
              <w:t>insurance number, passport or other identification number, salary,</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3"/>
              </w:rPr>
              <w:t>termasuk, tetapi tidak terhad kepada, nama Penerima Opsyen,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0"/>
              </w:rPr>
              <w:t>nationality, job title, any shares of stock or directorships held in</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alamat  rumah  dan  nombor  telefon,  almat  emel,  tarikh  lahir,</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2"/>
              </w:rPr>
              <w:t>the Company, details of all Options or any other entitlement to</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insurans  sosial,  nombor  pasport  atau  pengenalan  lain,  gaji,</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6"/>
              </w:rPr>
              <w:t>shares of stock awarded, canceled, exercised, vested, unvested or</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kewarganegaraan,  jawatan,  apa-apa  syer  dalam  Saham  atau</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9"/>
              </w:rPr>
              <w:t>outstanding in the Optionee’s favor, for the exclusive purpose of</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jawatan  pengarah  yang  dipegang  dalam  Syarikat,  maklumat</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rPr>
              <w:t>implementing, administering and managing the Plan.</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8"/>
              </w:rPr>
              <w:t>berkaitan  semua  Opsyen-Opsyen  atau  apa-apa  kelayakan  lain</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4"/>
              </w:rPr>
              <w:t>untuk  syer  dalam  saham  yang  dianugerahkan,  dibatalkan,</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line="216" w:lineRule="exact"/>
              <w:rPr>
                <w:sz w:val="20"/>
                <w:szCs w:val="20"/>
                <w:color w:val="auto"/>
              </w:rPr>
            </w:pPr>
            <w:r>
              <w:rPr>
                <w:rFonts w:ascii="Arial" w:cs="Arial" w:eastAsia="Arial" w:hAnsi="Arial"/>
                <w:sz w:val="20"/>
                <w:szCs w:val="20"/>
                <w:b w:val="1"/>
                <w:bCs w:val="1"/>
                <w:i w:val="1"/>
                <w:iCs w:val="1"/>
                <w:color w:val="auto"/>
                <w:w w:val="92"/>
              </w:rPr>
              <w:t>The Optionee understands that Data will be transferred to UBS</w:t>
            </w:r>
          </w:p>
        </w:tc>
        <w:tc>
          <w:tcPr>
            <w:tcW w:w="5600" w:type="dxa"/>
            <w:vAlign w:val="bottom"/>
            <w:gridSpan w:val="6"/>
          </w:tcPr>
          <w:p>
            <w:pPr>
              <w:ind w:left="80"/>
              <w:spacing w:after="0" w:line="216" w:lineRule="exact"/>
              <w:rPr>
                <w:sz w:val="20"/>
                <w:szCs w:val="20"/>
                <w:color w:val="auto"/>
              </w:rPr>
            </w:pPr>
            <w:r>
              <w:rPr>
                <w:rFonts w:ascii="Arial" w:cs="Arial" w:eastAsia="Arial" w:hAnsi="Arial"/>
                <w:sz w:val="20"/>
                <w:szCs w:val="20"/>
                <w:b w:val="1"/>
                <w:bCs w:val="1"/>
                <w:i w:val="1"/>
                <w:iCs w:val="1"/>
                <w:color w:val="auto"/>
                <w:w w:val="89"/>
              </w:rPr>
              <w:t>dilaksanakan, terletak hak, tidak diletak hak ataupun yang belum</w:t>
            </w:r>
          </w:p>
        </w:tc>
        <w:tc>
          <w:tcPr>
            <w:tcW w:w="0" w:type="dxa"/>
            <w:vAlign w:val="bottom"/>
          </w:tcPr>
          <w:p>
            <w:pPr>
              <w:spacing w:after="0"/>
              <w:rPr>
                <w:sz w:val="1"/>
                <w:szCs w:val="1"/>
                <w:color w:val="auto"/>
              </w:rPr>
            </w:pPr>
          </w:p>
        </w:tc>
      </w:tr>
      <w:tr>
        <w:trPr>
          <w:trHeight w:val="196"/>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8"/>
              </w:rPr>
              <w:t>Financial Services, Inc. (“UBS”), or such other stock plan service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0"/>
              </w:rPr>
              <w:t>dijelaskan bagi faedah Penerima Opsyen, untuk tujuan eksklusif</w:t>
            </w:r>
          </w:p>
        </w:tc>
        <w:tc>
          <w:tcPr>
            <w:tcW w:w="0" w:type="dxa"/>
            <w:vAlign w:val="bottom"/>
          </w:tcPr>
          <w:p>
            <w:pPr>
              <w:spacing w:after="0"/>
              <w:rPr>
                <w:sz w:val="1"/>
                <w:szCs w:val="1"/>
                <w:color w:val="auto"/>
              </w:rPr>
            </w:pPr>
          </w:p>
        </w:tc>
      </w:tr>
      <w:tr>
        <w:trPr>
          <w:trHeight w:val="162"/>
        </w:trPr>
        <w:tc>
          <w:tcPr>
            <w:tcW w:w="2160" w:type="dxa"/>
            <w:vAlign w:val="bottom"/>
          </w:tcPr>
          <w:p>
            <w:pPr>
              <w:spacing w:after="0" w:line="162" w:lineRule="exact"/>
              <w:rPr>
                <w:sz w:val="20"/>
                <w:szCs w:val="20"/>
                <w:color w:val="auto"/>
              </w:rPr>
            </w:pPr>
            <w:r>
              <w:rPr>
                <w:rFonts w:ascii="Arial" w:cs="Arial" w:eastAsia="Arial" w:hAnsi="Arial"/>
                <w:sz w:val="18"/>
                <w:szCs w:val="18"/>
                <w:b w:val="1"/>
                <w:bCs w:val="1"/>
                <w:i w:val="1"/>
                <w:iCs w:val="1"/>
                <w:color w:val="auto"/>
                <w:w w:val="88"/>
              </w:rPr>
              <w:t>provider as may be selected</w:t>
            </w:r>
          </w:p>
        </w:tc>
        <w:tc>
          <w:tcPr>
            <w:tcW w:w="400" w:type="dxa"/>
            <w:vAlign w:val="bottom"/>
            <w:tcBorders>
              <w:top w:val="single" w:sz="8" w:color="auto"/>
            </w:tcBorders>
          </w:tcPr>
          <w:p>
            <w:pPr>
              <w:ind w:left="120"/>
              <w:spacing w:after="0" w:line="162" w:lineRule="exact"/>
              <w:rPr>
                <w:sz w:val="20"/>
                <w:szCs w:val="20"/>
                <w:color w:val="auto"/>
              </w:rPr>
            </w:pPr>
            <w:r>
              <w:rPr>
                <w:rFonts w:ascii="Arial" w:cs="Arial" w:eastAsia="Arial" w:hAnsi="Arial"/>
                <w:sz w:val="18"/>
                <w:szCs w:val="18"/>
                <w:b w:val="1"/>
                <w:bCs w:val="1"/>
                <w:i w:val="1"/>
                <w:iCs w:val="1"/>
                <w:color w:val="auto"/>
              </w:rPr>
              <w:t>by</w:t>
            </w:r>
          </w:p>
        </w:tc>
        <w:tc>
          <w:tcPr>
            <w:tcW w:w="2940" w:type="dxa"/>
            <w:vAlign w:val="bottom"/>
          </w:tcPr>
          <w:p>
            <w:pPr>
              <w:spacing w:after="0" w:line="162" w:lineRule="exact"/>
              <w:rPr>
                <w:sz w:val="20"/>
                <w:szCs w:val="20"/>
                <w:color w:val="auto"/>
              </w:rPr>
            </w:pPr>
            <w:r>
              <w:rPr>
                <w:rFonts w:ascii="Arial" w:cs="Arial" w:eastAsia="Arial" w:hAnsi="Arial"/>
                <w:sz w:val="18"/>
                <w:szCs w:val="18"/>
                <w:b w:val="1"/>
                <w:bCs w:val="1"/>
                <w:i w:val="1"/>
                <w:iCs w:val="1"/>
                <w:color w:val="auto"/>
              </w:rPr>
              <w:t>the Company in the future, which</w:t>
            </w:r>
          </w:p>
        </w:tc>
        <w:tc>
          <w:tcPr>
            <w:tcW w:w="5600" w:type="dxa"/>
            <w:vAlign w:val="bottom"/>
            <w:gridSpan w:val="6"/>
          </w:tcPr>
          <w:p>
            <w:pPr>
              <w:ind w:left="80"/>
              <w:spacing w:after="0" w:line="162" w:lineRule="exact"/>
              <w:rPr>
                <w:sz w:val="20"/>
                <w:szCs w:val="20"/>
                <w:color w:val="auto"/>
              </w:rPr>
            </w:pPr>
            <w:r>
              <w:rPr>
                <w:rFonts w:ascii="Arial" w:cs="Arial" w:eastAsia="Arial" w:hAnsi="Arial"/>
                <w:sz w:val="18"/>
                <w:szCs w:val="18"/>
                <w:b w:val="1"/>
                <w:bCs w:val="1"/>
                <w:i w:val="1"/>
                <w:iCs w:val="1"/>
                <w:color w:val="auto"/>
                <w:w w:val="98"/>
              </w:rPr>
              <w:t>bagi melaksanakan, mentadbir dan menguruskan Pelan tersebut.</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7"/>
              </w:rPr>
              <w:t>is assisting the Company with the implementation, administration</w:t>
            </w:r>
          </w:p>
        </w:tc>
        <w:tc>
          <w:tcPr>
            <w:tcW w:w="5600" w:type="dxa"/>
            <w:vAlign w:val="bottom"/>
            <w:gridSpan w:val="6"/>
            <w:vMerge w:val="restart"/>
          </w:tcPr>
          <w:p>
            <w:pPr>
              <w:ind w:left="80"/>
              <w:spacing w:after="0"/>
              <w:rPr>
                <w:sz w:val="20"/>
                <w:szCs w:val="20"/>
                <w:color w:val="auto"/>
              </w:rPr>
            </w:pPr>
            <w:r>
              <w:rPr>
                <w:rFonts w:ascii="Arial" w:cs="Arial" w:eastAsia="Arial" w:hAnsi="Arial"/>
                <w:sz w:val="20"/>
                <w:szCs w:val="20"/>
                <w:b w:val="1"/>
                <w:bCs w:val="1"/>
                <w:i w:val="1"/>
                <w:iCs w:val="1"/>
                <w:color w:val="auto"/>
                <w:w w:val="95"/>
              </w:rPr>
              <w:t>Penerima  Opsyen  memahami  bahawa  Data  tersebut  akan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4"/>
              </w:rPr>
              <w:t>and management of the Plan. The Optionee understands that</w:t>
            </w:r>
          </w:p>
        </w:tc>
        <w:tc>
          <w:tcPr>
            <w:tcW w:w="56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5"/>
              </w:rPr>
              <w:t>Data may also be transferred to the Company’s independent</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3"/>
              </w:rPr>
              <w:t>dipindahkan  ke  UBS  Financial  Services,  Inc.  (“UBS”)  atau</w:t>
            </w:r>
          </w:p>
        </w:tc>
        <w:tc>
          <w:tcPr>
            <w:tcW w:w="0" w:type="dxa"/>
            <w:vAlign w:val="bottom"/>
          </w:tcPr>
          <w:p>
            <w:pPr>
              <w:spacing w:after="0"/>
              <w:rPr>
                <w:sz w:val="1"/>
                <w:szCs w:val="1"/>
                <w:color w:val="auto"/>
              </w:rPr>
            </w:pPr>
          </w:p>
        </w:tc>
      </w:tr>
      <w:tr>
        <w:trPr>
          <w:trHeight w:val="27"/>
        </w:trPr>
        <w:tc>
          <w:tcPr>
            <w:tcW w:w="5500" w:type="dxa"/>
            <w:vAlign w:val="bottom"/>
            <w:gridSpan w:val="3"/>
            <w:vMerge w:val="restart"/>
          </w:tcPr>
          <w:p>
            <w:pPr>
              <w:spacing w:after="0" w:line="189" w:lineRule="exact"/>
              <w:rPr>
                <w:sz w:val="20"/>
                <w:szCs w:val="20"/>
                <w:color w:val="auto"/>
              </w:rPr>
            </w:pPr>
            <w:r>
              <w:rPr>
                <w:rFonts w:ascii="Arial" w:cs="Arial" w:eastAsia="Arial" w:hAnsi="Arial"/>
                <w:sz w:val="20"/>
                <w:szCs w:val="20"/>
                <w:b w:val="1"/>
                <w:bCs w:val="1"/>
                <w:i w:val="1"/>
                <w:iCs w:val="1"/>
                <w:color w:val="auto"/>
                <w:w w:val="88"/>
              </w:rPr>
              <w:t>registered public accounting firm, PricewaterhouseCoopers LLP,</w:t>
            </w:r>
          </w:p>
        </w:tc>
        <w:tc>
          <w:tcPr>
            <w:tcW w:w="4540" w:type="dxa"/>
            <w:vAlign w:val="bottom"/>
            <w:gridSpan w:val="4"/>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vMerge w:val="restart"/>
          </w:tcPr>
          <w:p>
            <w:pPr>
              <w:ind w:left="140"/>
              <w:spacing w:after="0" w:line="189" w:lineRule="exact"/>
              <w:rPr>
                <w:sz w:val="20"/>
                <w:szCs w:val="20"/>
                <w:color w:val="auto"/>
              </w:rPr>
            </w:pPr>
            <w:r>
              <w:rPr>
                <w:rFonts w:ascii="Arial" w:cs="Arial" w:eastAsia="Arial" w:hAnsi="Arial"/>
                <w:sz w:val="20"/>
                <w:szCs w:val="20"/>
                <w:b w:val="1"/>
                <w:bCs w:val="1"/>
                <w:i w:val="1"/>
                <w:iCs w:val="1"/>
                <w:color w:val="auto"/>
                <w:w w:val="88"/>
              </w:rPr>
              <w:t>dipilih</w:t>
            </w:r>
          </w:p>
        </w:tc>
        <w:tc>
          <w:tcPr>
            <w:tcW w:w="0" w:type="dxa"/>
            <w:vAlign w:val="bottom"/>
          </w:tcPr>
          <w:p>
            <w:pPr>
              <w:spacing w:after="0" w:line="20" w:lineRule="exact"/>
              <w:rPr>
                <w:sz w:val="1"/>
                <w:szCs w:val="1"/>
                <w:color w:val="auto"/>
              </w:rPr>
            </w:pPr>
          </w:p>
        </w:tc>
      </w:tr>
      <w:tr>
        <w:trPr>
          <w:trHeight w:val="162"/>
        </w:trPr>
        <w:tc>
          <w:tcPr>
            <w:tcW w:w="5500" w:type="dxa"/>
            <w:vAlign w:val="bottom"/>
            <w:gridSpan w:val="3"/>
            <w:vMerge w:val="continue"/>
          </w:tcPr>
          <w:p>
            <w:pPr>
              <w:spacing w:after="0"/>
              <w:rPr>
                <w:sz w:val="14"/>
                <w:szCs w:val="14"/>
                <w:color w:val="auto"/>
              </w:rPr>
            </w:pPr>
          </w:p>
        </w:tc>
        <w:tc>
          <w:tcPr>
            <w:tcW w:w="4920" w:type="dxa"/>
            <w:vAlign w:val="bottom"/>
            <w:gridSpan w:val="5"/>
          </w:tcPr>
          <w:p>
            <w:pPr>
              <w:ind w:left="80"/>
              <w:spacing w:after="0" w:line="162" w:lineRule="exact"/>
              <w:rPr>
                <w:sz w:val="20"/>
                <w:szCs w:val="20"/>
                <w:color w:val="auto"/>
              </w:rPr>
            </w:pPr>
            <w:r>
              <w:rPr>
                <w:rFonts w:ascii="Arial" w:cs="Arial" w:eastAsia="Arial" w:hAnsi="Arial"/>
                <w:sz w:val="18"/>
                <w:szCs w:val="18"/>
                <w:b w:val="1"/>
                <w:bCs w:val="1"/>
                <w:i w:val="1"/>
                <w:iCs w:val="1"/>
                <w:color w:val="auto"/>
                <w:w w:val="99"/>
              </w:rPr>
              <w:t>pembekal perkhidmatan pelan saham lain yang mungkin</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8"/>
              </w:rPr>
              <w:t>or such other public accounting firm that may be engaged by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0"/>
              </w:rPr>
              <w:t>oleh  Syarikat  pada  masa  hadapan,  yang  membantu  Syarikat</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8"/>
              </w:rPr>
              <w:t>Company in the future. The Optionee understands that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melaksanakan,  mentadbir  dan  menguruskan  Pelan  tersebut.</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5"/>
              </w:rPr>
              <w:t>recipients of the Data may be located in the United States or</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5"/>
              </w:rPr>
              <w:t>Penerima  Opsyen  memahami  bahawa  Data  juga  mungkin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6"/>
              </w:rPr>
              <w:t>elsewhere, and that the recipients’ country (e.g., the United States)</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0"/>
              </w:rPr>
              <w:t>dipindahkan  kepada  firma  akauntansi  awam  berdaftar  bebas</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3"/>
              </w:rPr>
              <w:t>may have different data privacy laws and protections than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8"/>
              </w:rPr>
              <w:t>Syarikat,  PricewaterhouseCoopers  LLP,  atau  firma  akauntansi</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8"/>
              </w:rPr>
              <w:t>Optionee’s country. The Optionee understands that the Optionee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9"/>
              </w:rPr>
              <w:t>berdaftar lain yang mungkin digunakan oleh Syarikat pada masa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8"/>
              </w:rPr>
              <w:t>may request a list with the names and addresses of any potential</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2"/>
              </w:rPr>
              <w:t>hadapan. Penerima Opsyen turut memahami bahawa penerima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0"/>
              </w:rPr>
              <w:t>recipients of the Data by contacting the Optionee’s local human</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2"/>
              </w:rPr>
              <w:t>Data mungkin berada di Amerika Syarikat atau negara lain dan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0"/>
              </w:rPr>
              <w:t>resources representative at Mondelez Malaysia Sales Sdn Bhd.,</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4"/>
              </w:rPr>
              <w:t>negara  asal  penerima  Data  (contohnya,  Amerika  Syarikat)</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6"/>
              </w:rPr>
              <w:t>Lot 9.01 Level 9, 1 First Avenue, 2A, Dataran Bandar Utama,</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4"/>
              </w:rPr>
              <w:t>mungkin   mempunyai  undang-undang  data   peribadi  serta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rPr>
              <w:t>Bandar Utama Damasara, 47800 Petaling Jaya, Selangor,</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2"/>
              </w:rPr>
              <w:t>perlindungan  yang  berbeza  daripada  negara  asal  Penerima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2"/>
              </w:rPr>
              <w:t>Malaysia. The Optionee authorizes the Company, UBS and any</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9"/>
              </w:rPr>
              <w:t>Opsyen. Penerima Opsyen memahami bahawa Penerima Opsyen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5"/>
              </w:rPr>
              <w:t>other possible recipients which may assist the Company (presently</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8"/>
              </w:rPr>
              <w:t>boleh meminta satu senarai yang mengandungi nama dan alamat</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9"/>
              </w:rPr>
              <w:t>or in the future) with implementing, administering and managing</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0"/>
              </w:rPr>
              <w:t>penerima-penerima Data yang berpotensi dengan menghubungi</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9"/>
              </w:rPr>
              <w:t>the Plan to receive, possess, use, retain and transfer the Data, in</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wakil sumber manusia tempatan Penerima Opsyen di Mondelez</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2"/>
              </w:rPr>
              <w:t>electronic or other form, for the sole purpose of implementing,</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4"/>
              </w:rPr>
              <w:t>Malaysia Sales Sdn Bhd, Lot 9.01 Level 9, 1 First Avenue, 2A,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1"/>
              </w:rPr>
              <w:t>administering and managing the Optionee’s participation in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9"/>
              </w:rPr>
              <w:t>Dataran Bandar Utama, Bandar Utama Damasara, 47800 Petaling</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3"/>
              </w:rPr>
              <w:t>Plan. The Optionee understands that Data will be held only as</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9"/>
              </w:rPr>
              <w:t>Jaya,  Selangor,  Malaysia.  Penerima  Opsyen  dengan  ini</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1"/>
              </w:rPr>
              <w:t>long as is necessary to implement, administer and manage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4"/>
              </w:rPr>
              <w:t>membenarkan Syarikat, UBS serta mana-mana penerima data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1"/>
              </w:rPr>
              <w:t>Optionee’s participation in the Plan. The Optionee understands</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3"/>
              </w:rPr>
              <w:t>yang mungkin menerima Data yang mungkin membantu pihak</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9"/>
              </w:rPr>
              <w:t>that the Optionee may, at any time, view Data, request additional</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6"/>
              </w:rPr>
              <w:t>Syarikat   (sekarang   atau   pada   masa   hadapan)   dengan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7"/>
              </w:rPr>
              <w:t>information about the storage and processing of Data, require any</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6"/>
              </w:rPr>
              <w:t>melaksanakan,  mentadbir  dan  menguruskan  Pelan  untuk</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5"/>
              </w:rPr>
              <w:t>necessary amendments to Data or refuse or withdraw the consents</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0"/>
              </w:rPr>
              <w:t>menerima, mempunya, mengguna, menyimpan serta memindah</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5"/>
              </w:rPr>
              <w:t>herein, in any case without cost, by contacting in writing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0"/>
              </w:rPr>
              <w:t>Data tersebut dalam bentuk elektronik atau lain-lain, bagi tujuan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2"/>
              </w:rPr>
              <w:t>Optionee’s local human resources representative. Further,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tunggal untuk melaksana, mentadbir dan mengurus penyertaan</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1"/>
              </w:rPr>
              <w:t>Optionee understands that he or she is providing the consents</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9"/>
              </w:rPr>
              <w:t>Penerima  Opsyen  dalam  Pelan.  Penerima  Opsyen  memahami</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7"/>
              </w:rPr>
              <w:t>herein on a purely voluntary basis. If the Optionee does not</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8"/>
              </w:rPr>
              <w:t>bahawa Data hanya akan disimpan untuk tempoh yang perlu bagi</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5"/>
              </w:rPr>
              <w:t>consent, or if the Optionee later seeks to revoke his or her consent,</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86"/>
              </w:rPr>
              <w:t>melaksanakan, mentadbir, dan menguruskan penyertaan Penerima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6"/>
              </w:rPr>
              <w:t>his or her employment status or service and career with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1"/>
              </w:rPr>
              <w:t>Opsyen  dalam  Pelan.  Penerima  Opsyen  memahami  bahawa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88"/>
              </w:rPr>
              <w:t>Employer will not be adversely affected; the only consequence of</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2"/>
              </w:rPr>
              <w:t>Penerima  Opsyen  boleh  pada  bila-bila  masa,  melihat  Data,</w:t>
            </w:r>
          </w:p>
        </w:tc>
        <w:tc>
          <w:tcPr>
            <w:tcW w:w="0" w:type="dxa"/>
            <w:vAlign w:val="bottom"/>
          </w:tcPr>
          <w:p>
            <w:pPr>
              <w:spacing w:after="0"/>
              <w:rPr>
                <w:sz w:val="1"/>
                <w:szCs w:val="1"/>
                <w:color w:val="auto"/>
              </w:rPr>
            </w:pPr>
          </w:p>
        </w:tc>
      </w:tr>
      <w:tr>
        <w:trPr>
          <w:trHeight w:val="189"/>
        </w:trPr>
        <w:tc>
          <w:tcPr>
            <w:tcW w:w="5500" w:type="dxa"/>
            <w:vAlign w:val="bottom"/>
            <w:gridSpan w:val="3"/>
          </w:tcPr>
          <w:p>
            <w:pPr>
              <w:spacing w:after="0" w:line="189" w:lineRule="exact"/>
              <w:rPr>
                <w:sz w:val="20"/>
                <w:szCs w:val="20"/>
                <w:color w:val="auto"/>
              </w:rPr>
            </w:pPr>
            <w:r>
              <w:rPr>
                <w:rFonts w:ascii="Arial" w:cs="Arial" w:eastAsia="Arial" w:hAnsi="Arial"/>
                <w:sz w:val="20"/>
                <w:szCs w:val="20"/>
                <w:b w:val="1"/>
                <w:bCs w:val="1"/>
                <w:i w:val="1"/>
                <w:iCs w:val="1"/>
                <w:color w:val="auto"/>
                <w:w w:val="99"/>
              </w:rPr>
              <w:t>refusing or withdrawing the Optionee’s consent is that the</w:t>
            </w:r>
          </w:p>
        </w:tc>
        <w:tc>
          <w:tcPr>
            <w:tcW w:w="5600" w:type="dxa"/>
            <w:vAlign w:val="bottom"/>
            <w:gridSpan w:val="6"/>
          </w:tcPr>
          <w:p>
            <w:pPr>
              <w:ind w:left="80"/>
              <w:spacing w:after="0" w:line="189" w:lineRule="exact"/>
              <w:rPr>
                <w:sz w:val="20"/>
                <w:szCs w:val="20"/>
                <w:color w:val="auto"/>
              </w:rPr>
            </w:pPr>
            <w:r>
              <w:rPr>
                <w:rFonts w:ascii="Arial" w:cs="Arial" w:eastAsia="Arial" w:hAnsi="Arial"/>
                <w:sz w:val="20"/>
                <w:szCs w:val="20"/>
                <w:b w:val="1"/>
                <w:bCs w:val="1"/>
                <w:i w:val="1"/>
                <w:iCs w:val="1"/>
                <w:color w:val="auto"/>
                <w:w w:val="94"/>
              </w:rPr>
              <w:t>meminta  maklumat  tambahan  mengenai  penyimpanan  dan</w:t>
            </w:r>
          </w:p>
        </w:tc>
        <w:tc>
          <w:tcPr>
            <w:tcW w:w="0" w:type="dxa"/>
            <w:vAlign w:val="bottom"/>
          </w:tcPr>
          <w:p>
            <w:pPr>
              <w:spacing w:after="0"/>
              <w:rPr>
                <w:sz w:val="1"/>
                <w:szCs w:val="1"/>
                <w:color w:val="auto"/>
              </w:rPr>
            </w:pPr>
          </w:p>
        </w:tc>
      </w:tr>
      <w:tr>
        <w:trPr>
          <w:trHeight w:val="252"/>
        </w:trPr>
        <w:tc>
          <w:tcPr>
            <w:tcW w:w="55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2"/>
              </w:rPr>
              <w:t>Company would not be able to grant the Optionee an option or</w:t>
            </w:r>
          </w:p>
        </w:tc>
        <w:tc>
          <w:tcPr>
            <w:tcW w:w="1300" w:type="dxa"/>
            <w:vAlign w:val="bottom"/>
          </w:tcPr>
          <w:p>
            <w:pPr>
              <w:ind w:left="80"/>
              <w:spacing w:after="0"/>
              <w:rPr>
                <w:sz w:val="20"/>
                <w:szCs w:val="20"/>
                <w:color w:val="auto"/>
              </w:rPr>
            </w:pPr>
            <w:r>
              <w:rPr>
                <w:rFonts w:ascii="Arial" w:cs="Arial" w:eastAsia="Arial" w:hAnsi="Arial"/>
                <w:sz w:val="20"/>
                <w:szCs w:val="20"/>
                <w:b w:val="1"/>
                <w:bCs w:val="1"/>
                <w:i w:val="1"/>
                <w:iCs w:val="1"/>
                <w:color w:val="auto"/>
                <w:w w:val="92"/>
              </w:rPr>
              <w:t>pemprosesan</w:t>
            </w:r>
          </w:p>
        </w:tc>
        <w:tc>
          <w:tcPr>
            <w:tcW w:w="1780" w:type="dxa"/>
            <w:vAlign w:val="bottom"/>
          </w:tcPr>
          <w:p>
            <w:pPr>
              <w:ind w:left="160"/>
              <w:spacing w:after="0"/>
              <w:rPr>
                <w:sz w:val="20"/>
                <w:szCs w:val="20"/>
                <w:color w:val="auto"/>
              </w:rPr>
            </w:pPr>
            <w:r>
              <w:rPr>
                <w:rFonts w:ascii="Arial" w:cs="Arial" w:eastAsia="Arial" w:hAnsi="Arial"/>
                <w:sz w:val="20"/>
                <w:szCs w:val="20"/>
                <w:b w:val="1"/>
                <w:bCs w:val="1"/>
                <w:i w:val="1"/>
                <w:iCs w:val="1"/>
                <w:color w:val="auto"/>
              </w:rPr>
              <w:t>Data,   meminta</w:t>
            </w:r>
          </w:p>
        </w:tc>
        <w:tc>
          <w:tcPr>
            <w:tcW w:w="960" w:type="dxa"/>
            <w:vAlign w:val="bottom"/>
          </w:tcPr>
          <w:p>
            <w:pPr>
              <w:ind w:left="160"/>
              <w:spacing w:after="0"/>
              <w:rPr>
                <w:sz w:val="20"/>
                <w:szCs w:val="20"/>
                <w:color w:val="auto"/>
              </w:rPr>
            </w:pPr>
            <w:r>
              <w:rPr>
                <w:rFonts w:ascii="Arial" w:cs="Arial" w:eastAsia="Arial" w:hAnsi="Arial"/>
                <w:sz w:val="20"/>
                <w:szCs w:val="20"/>
                <w:b w:val="1"/>
                <w:bCs w:val="1"/>
                <w:i w:val="1"/>
                <w:iCs w:val="1"/>
                <w:color w:val="auto"/>
              </w:rPr>
              <w:t>bahawa</w:t>
            </w:r>
          </w:p>
        </w:tc>
        <w:tc>
          <w:tcPr>
            <w:tcW w:w="1560" w:type="dxa"/>
            <w:vAlign w:val="bottom"/>
            <w:gridSpan w:val="3"/>
          </w:tcPr>
          <w:p>
            <w:pPr>
              <w:ind w:left="140"/>
              <w:spacing w:after="0"/>
              <w:rPr>
                <w:sz w:val="20"/>
                <w:szCs w:val="20"/>
                <w:color w:val="auto"/>
              </w:rPr>
            </w:pPr>
            <w:r>
              <w:rPr>
                <w:rFonts w:ascii="Arial" w:cs="Arial" w:eastAsia="Arial" w:hAnsi="Arial"/>
                <w:sz w:val="20"/>
                <w:szCs w:val="20"/>
                <w:b w:val="1"/>
                <w:bCs w:val="1"/>
                <w:i w:val="1"/>
                <w:iCs w:val="1"/>
                <w:color w:val="auto"/>
                <w:w w:val="87"/>
              </w:rPr>
              <w:t>pindaan-pindaan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-5800090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-5782945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-5765800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-5748655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-5731510</wp:posOffset>
            </wp:positionV>
            <wp:extent cx="825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-5714365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-5697220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-5680075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-5662930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-5645785</wp:posOffset>
            </wp:positionV>
            <wp:extent cx="82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-5628640</wp:posOffset>
            </wp:positionV>
            <wp:extent cx="82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-5611495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-5594350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-5577205</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-5560060</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-5542915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-5525770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-5508625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-5491480</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-5474335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-5457190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-5440045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-5422900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-5405755</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-5388610</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-5371465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-5354320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-5337175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-5320030</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-5302885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-5285740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-5268595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-5251450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-5234305</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-5217160</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-5200015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-5182870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-5165725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-5148580</wp:posOffset>
            </wp:positionV>
            <wp:extent cx="82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-5131435</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-5114290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-5097145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-5080000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-5062855</wp:posOffset>
            </wp:positionV>
            <wp:extent cx="8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-5045710</wp:posOffset>
            </wp:positionV>
            <wp:extent cx="82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-5028565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-5011420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-4994275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-4977130</wp:posOffset>
            </wp:positionV>
            <wp:extent cx="82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-4959985</wp:posOffset>
            </wp:positionV>
            <wp:extent cx="82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-4942840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-4925695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-4908550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-4891405</wp:posOffset>
            </wp:positionV>
            <wp:extent cx="82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-4874260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-4857115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-4839970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-4822825</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-4805680</wp:posOffset>
            </wp:positionV>
            <wp:extent cx="825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-4788535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-4771390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-4754245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-4737100</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-4719955</wp:posOffset>
            </wp:positionV>
            <wp:extent cx="82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-4702810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-4685665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-4668520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-4651375</wp:posOffset>
            </wp:positionV>
            <wp:extent cx="825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-4634230</wp:posOffset>
            </wp:positionV>
            <wp:extent cx="82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-4617085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-4599940</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-4582795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-4565650</wp:posOffset>
            </wp:positionV>
            <wp:extent cx="825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-4548505</wp:posOffset>
            </wp:positionV>
            <wp:extent cx="825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-4531360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-4514215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-4497070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-4479925</wp:posOffset>
            </wp:positionV>
            <wp:extent cx="825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-4462780</wp:posOffset>
            </wp:positionV>
            <wp:extent cx="82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-4445635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-4428490</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-4411345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-4394200</wp:posOffset>
            </wp:positionV>
            <wp:extent cx="82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-4377055</wp:posOffset>
            </wp:positionV>
            <wp:extent cx="825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-4359910</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-4342765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-4325620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-4308475</wp:posOffset>
            </wp:positionV>
            <wp:extent cx="82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-4291330</wp:posOffset>
            </wp:positionV>
            <wp:extent cx="82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-4274185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-4257040</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-4239895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-4222750</wp:posOffset>
            </wp:positionV>
            <wp:extent cx="825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-4205605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-4188460</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-4171315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-4154170</wp:posOffset>
            </wp:positionV>
            <wp:extent cx="825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-4137025</wp:posOffset>
            </wp:positionV>
            <wp:extent cx="825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-4119880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-4102735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-4085590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-4068445</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-4051300</wp:posOffset>
            </wp:positionV>
            <wp:extent cx="82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-4034155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-4017010</wp:posOffset>
            </wp:positionV>
            <wp:extent cx="8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-3999865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-3982720</wp:posOffset>
            </wp:positionV>
            <wp:extent cx="825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-3965575</wp:posOffset>
            </wp:positionV>
            <wp:extent cx="82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-3948430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-3931285</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-3914140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-3896995</wp:posOffset>
            </wp:positionV>
            <wp:extent cx="82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-3879850</wp:posOffset>
            </wp:positionV>
            <wp:extent cx="82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-3862705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-3845560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-3828415</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-3811270</wp:posOffset>
            </wp:positionV>
            <wp:extent cx="82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-3794125</wp:posOffset>
            </wp:positionV>
            <wp:extent cx="825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-3776980</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-3759835</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-3742690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-3725545</wp:posOffset>
            </wp:positionV>
            <wp:extent cx="82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-3708400</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-3691255</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-3674110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-3656965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-3639820</wp:posOffset>
            </wp:positionV>
            <wp:extent cx="8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-3622675</wp:posOffset>
            </wp:positionV>
            <wp:extent cx="825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-3605530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-3588385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-3571240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-3554095</wp:posOffset>
            </wp:positionV>
            <wp:extent cx="82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-3536950</wp:posOffset>
            </wp:positionV>
            <wp:extent cx="82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-3519805</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-3502660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-3485515</wp:posOffset>
            </wp:positionV>
            <wp:extent cx="825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-3468370</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-3451225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-3434080</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-3416935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-3399790</wp:posOffset>
            </wp:positionV>
            <wp:extent cx="82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-3382645</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-3365500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-3348355</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-3331210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-3314065</wp:posOffset>
            </wp:positionV>
            <wp:extent cx="82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-3296920</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-3279775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-3262630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-3245485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-3228340</wp:posOffset>
            </wp:positionV>
            <wp:extent cx="825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-3211195</wp:posOffset>
            </wp:positionV>
            <wp:extent cx="825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-3194050</wp:posOffset>
            </wp:positionV>
            <wp:extent cx="82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-3176905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-3159760</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-3142615</wp:posOffset>
            </wp:positionV>
            <wp:extent cx="825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-3125470</wp:posOffset>
            </wp:positionV>
            <wp:extent cx="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-3108325</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-3091180</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-3074035</wp:posOffset>
            </wp:positionV>
            <wp:extent cx="825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-3056890</wp:posOffset>
            </wp:positionV>
            <wp:extent cx="825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-3039745</wp:posOffset>
            </wp:positionV>
            <wp:extent cx="82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-3022600</wp:posOffset>
            </wp:positionV>
            <wp:extent cx="82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-3005455</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-2988310</wp:posOffset>
            </wp:positionV>
            <wp:extent cx="825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-2971165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-2954020</wp:posOffset>
            </wp:positionV>
            <wp:extent cx="82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-2936875</wp:posOffset>
            </wp:positionV>
            <wp:extent cx="82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-2919730</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-2902585</wp:posOffset>
            </wp:positionV>
            <wp:extent cx="82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-2885440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-2868295</wp:posOffset>
            </wp:positionV>
            <wp:extent cx="8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-2851150</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-2834005</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-2816860</wp:posOffset>
            </wp:positionV>
            <wp:extent cx="825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-2799715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-2782570</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-2765425</wp:posOffset>
            </wp:positionV>
            <wp:extent cx="825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-2748280</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-2731135</wp:posOffset>
            </wp:positionV>
            <wp:extent cx="825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-2713990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-2696845</wp:posOffset>
            </wp:positionV>
            <wp:extent cx="82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-2679700</wp:posOffset>
            </wp:positionV>
            <wp:extent cx="825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-2662555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-2645410</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-2628265</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-2611120</wp:posOffset>
            </wp:positionV>
            <wp:extent cx="825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-2593975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-2576830</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-2559685</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-2542540</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-2525395</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-2508250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-2491105</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-2473960</wp:posOffset>
            </wp:positionV>
            <wp:extent cx="825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-2456815</wp:posOffset>
            </wp:positionV>
            <wp:extent cx="825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-2439670</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-2422525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-2405380</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-2388235</wp:posOffset>
            </wp:positionV>
            <wp:extent cx="825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-2371090</wp:posOffset>
            </wp:positionV>
            <wp:extent cx="825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-2353945</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-2336800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-2319655</wp:posOffset>
            </wp:positionV>
            <wp:extent cx="825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-2302510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-2285365</wp:posOffset>
            </wp:positionV>
            <wp:extent cx="825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-2268220</wp:posOffset>
            </wp:positionV>
            <wp:extent cx="82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-2251075</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-2233930</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-2216785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-2199640</wp:posOffset>
            </wp:positionV>
            <wp:extent cx="82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-2182495</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-2165350</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-2148205</wp:posOffset>
            </wp:positionV>
            <wp:extent cx="825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-2131060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-2113915</wp:posOffset>
            </wp:positionV>
            <wp:extent cx="825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-2096770</wp:posOffset>
            </wp:positionV>
            <wp:extent cx="825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-2079625</wp:posOffset>
            </wp:positionV>
            <wp:extent cx="825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-2062480</wp:posOffset>
            </wp:positionV>
            <wp:extent cx="825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-2045335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-2028190</wp:posOffset>
            </wp:positionV>
            <wp:extent cx="825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-2011045</wp:posOffset>
            </wp:positionV>
            <wp:extent cx="825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-1993900</wp:posOffset>
            </wp:positionV>
            <wp:extent cx="82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-1976755</wp:posOffset>
            </wp:positionV>
            <wp:extent cx="825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-1959610</wp:posOffset>
            </wp:positionV>
            <wp:extent cx="825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-1942465</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-1925320</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-1908175</wp:posOffset>
            </wp:positionV>
            <wp:extent cx="825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-1891030</wp:posOffset>
            </wp:positionV>
            <wp:extent cx="825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-1873885</wp:posOffset>
            </wp:positionV>
            <wp:extent cx="825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-1856740</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-1839595</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-1822450</wp:posOffset>
            </wp:positionV>
            <wp:extent cx="825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-1805305</wp:posOffset>
            </wp:positionV>
            <wp:extent cx="825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-1788160</wp:posOffset>
            </wp:positionV>
            <wp:extent cx="825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-1771015</wp:posOffset>
            </wp:positionV>
            <wp:extent cx="825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-1753870</wp:posOffset>
            </wp:positionV>
            <wp:extent cx="8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-1736725</wp:posOffset>
            </wp:positionV>
            <wp:extent cx="825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-1719580</wp:posOffset>
            </wp:positionV>
            <wp:extent cx="825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-1702435</wp:posOffset>
            </wp:positionV>
            <wp:extent cx="825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-1685290</wp:posOffset>
            </wp:positionV>
            <wp:extent cx="825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-1668145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-1651000</wp:posOffset>
            </wp:positionV>
            <wp:extent cx="825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-1633855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-1616710</wp:posOffset>
            </wp:positionV>
            <wp:extent cx="825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-1599565</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-1582420</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-1565275</wp:posOffset>
            </wp:positionV>
            <wp:extent cx="825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-1548130</wp:posOffset>
            </wp:positionV>
            <wp:extent cx="825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-1530985</wp:posOffset>
            </wp:positionV>
            <wp:extent cx="825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-1513840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-1496695</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-1479550</wp:posOffset>
            </wp:positionV>
            <wp:extent cx="825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-1462405</wp:posOffset>
            </wp:positionV>
            <wp:extent cx="825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-1445260</wp:posOffset>
            </wp:positionV>
            <wp:extent cx="825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-1428115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-1410970</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-1393825</wp:posOffset>
            </wp:positionV>
            <wp:extent cx="825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-1376680</wp:posOffset>
            </wp:positionV>
            <wp:extent cx="825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-1359535</wp:posOffset>
            </wp:positionV>
            <wp:extent cx="825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-1342390</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-1325245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-1308100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-1290955</wp:posOffset>
            </wp:positionV>
            <wp:extent cx="82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-1273810</wp:posOffset>
            </wp:positionV>
            <wp:extent cx="825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-1256665</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-1239520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-1222375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-1205230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-1188085</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-1170940</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-1153795</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-1136650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-1119505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-1102360</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-1085215</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-1068070</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-1050925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-1033780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-1016635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-999490</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-982345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-965200</wp:posOffset>
            </wp:positionV>
            <wp:extent cx="82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-948055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-930910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-913765</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-896620</wp:posOffset>
            </wp:positionV>
            <wp:extent cx="825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-879475</wp:posOffset>
            </wp:positionV>
            <wp:extent cx="825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-862330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-845185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-828040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-810895</wp:posOffset>
            </wp:positionV>
            <wp:extent cx="825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-793750</wp:posOffset>
            </wp:positionV>
            <wp:extent cx="82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-776605</wp:posOffset>
            </wp:positionV>
            <wp:extent cx="825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-759460</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-742315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-725170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-708025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-690880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-673735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-656590</wp:posOffset>
            </wp:positionV>
            <wp:extent cx="82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-639445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-622300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-605155</wp:posOffset>
            </wp:positionV>
            <wp:extent cx="825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-588010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-570865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-553720</wp:posOffset>
            </wp:positionV>
            <wp:extent cx="825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-536575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-519430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-502285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-485140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-467995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-450850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-433705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-416560</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-399415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-382270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-365125</wp:posOffset>
            </wp:positionV>
            <wp:extent cx="825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-347980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-330835</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-313690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-296545</wp:posOffset>
            </wp:positionV>
            <wp:extent cx="825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-279400</wp:posOffset>
            </wp:positionV>
            <wp:extent cx="82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-262255</wp:posOffset>
            </wp:positionV>
            <wp:extent cx="825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-245110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-227965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-210820</wp:posOffset>
            </wp:positionV>
            <wp:extent cx="825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-193675</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-176530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-159385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-142240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-125095</wp:posOffset>
            </wp:positionV>
            <wp:extent cx="825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-107950</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-90805</wp:posOffset>
            </wp:positionV>
            <wp:extent cx="82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-73660</wp:posOffset>
            </wp:positionV>
            <wp:extent cx="825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-56515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-5800090</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-5782945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-5748655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-5731510</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-5714365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-5697220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-5680075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-5662930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-5645785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-5628640</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-5611495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-5577205</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-5560060</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-5542915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-5525770</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-5508625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-5491480</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-5474335</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-5457190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-5440045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-5405755</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-5388610</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-5371465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-5354320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-5337175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-5320030</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-5302885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-5285740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-5268595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-5234305</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-5217160</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-5200015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-5182870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-5165725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-5148580</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-5131435</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-5114290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-5097145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-5080000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-5062855</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-5045710</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-5028565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-5011420</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-4994275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-4977130</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-4959985</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-4942840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-4925695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-4891405</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-4874260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-4857115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-4839970</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-4822825</wp:posOffset>
            </wp:positionV>
            <wp:extent cx="889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-4805680</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-4788535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-4771390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-4754245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-4737100</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-4719955</wp:posOffset>
            </wp:positionV>
            <wp:extent cx="889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-4702810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-4685665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-4668520</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-4651375</wp:posOffset>
            </wp:positionV>
            <wp:extent cx="889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-4634230</wp:posOffset>
            </wp:positionV>
            <wp:extent cx="88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-4617085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-4599940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-4582795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-4565650</wp:posOffset>
            </wp:positionV>
            <wp:extent cx="889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-4548505</wp:posOffset>
            </wp:positionV>
            <wp:extent cx="88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-4531360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-4514215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-4497070</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-4479925</wp:posOffset>
            </wp:positionV>
            <wp:extent cx="889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-4462780</wp:posOffset>
            </wp:positionV>
            <wp:extent cx="889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-4445635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-4428490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-4411345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-4394200</wp:posOffset>
            </wp:positionV>
            <wp:extent cx="889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-4377055</wp:posOffset>
            </wp:positionV>
            <wp:extent cx="88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-4359910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-4342765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-4325620</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-4308475</wp:posOffset>
            </wp:positionV>
            <wp:extent cx="889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-4291330</wp:posOffset>
            </wp:positionV>
            <wp:extent cx="88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-4274185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-4257040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-4239895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-4222750</wp:posOffset>
            </wp:positionV>
            <wp:extent cx="889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-4205605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-4188460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-4171315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-4154170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-4137025</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-4119880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-4102735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-4085590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-4068445</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-4051300</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-4034155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-4017010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-3999865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-3982720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-3965575</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-3948430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-3931285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-3914140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-3896995</wp:posOffset>
            </wp:positionV>
            <wp:extent cx="889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-3879850</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-3862705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-3845560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-3828415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-3811270</wp:posOffset>
            </wp:positionV>
            <wp:extent cx="889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-3794125</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-3776980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-3759835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-3742690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-3725545</wp:posOffset>
            </wp:positionV>
            <wp:extent cx="88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-3708400</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-3691255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-3674110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-3656965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-3639820</wp:posOffset>
            </wp:positionV>
            <wp:extent cx="889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-3622675</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-3605530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-3588385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-3571240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-3554095</wp:posOffset>
            </wp:positionV>
            <wp:extent cx="889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-3519805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-3502660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-3485515</wp:posOffset>
            </wp:positionV>
            <wp:extent cx="88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-3468370</wp:posOffset>
            </wp:positionV>
            <wp:extent cx="88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-3451225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-3434080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-3416935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-3399790</wp:posOffset>
            </wp:positionV>
            <wp:extent cx="889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-3382645</wp:posOffset>
            </wp:positionV>
            <wp:extent cx="889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-3348355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-3331210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-3314065</wp:posOffset>
            </wp:positionV>
            <wp:extent cx="889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-3296920</wp:posOffset>
            </wp:positionV>
            <wp:extent cx="889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-3279775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-3262630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-3245485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-3228340</wp:posOffset>
            </wp:positionV>
            <wp:extent cx="889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-3211195</wp:posOffset>
            </wp:positionV>
            <wp:extent cx="88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-3176905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-3159760</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-3142615</wp:posOffset>
            </wp:positionV>
            <wp:extent cx="889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-3125470</wp:posOffset>
            </wp:positionV>
            <wp:extent cx="889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-3108325</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-3091180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-3074035</wp:posOffset>
            </wp:positionV>
            <wp:extent cx="889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-3056890</wp:posOffset>
            </wp:positionV>
            <wp:extent cx="889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-3039745</wp:posOffset>
            </wp:positionV>
            <wp:extent cx="889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-3005455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-2988310</wp:posOffset>
            </wp:positionV>
            <wp:extent cx="889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-2971165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-2954020</wp:posOffset>
            </wp:positionV>
            <wp:extent cx="88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-2936875</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-2919730</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-2902585</wp:posOffset>
            </wp:positionV>
            <wp:extent cx="889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-2885440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-2868295</wp:posOffset>
            </wp:positionV>
            <wp:extent cx="889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-2834005</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-2816860</wp:posOffset>
            </wp:positionV>
            <wp:extent cx="889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-2799715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-2782570</wp:posOffset>
            </wp:positionV>
            <wp:extent cx="889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-2765425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-2748280</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-2731135</wp:posOffset>
            </wp:positionV>
            <wp:extent cx="889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-2713990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-2696845</wp:posOffset>
            </wp:positionV>
            <wp:extent cx="88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-2662555</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-2645410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-2628265</wp:posOffset>
            </wp:positionV>
            <wp:extent cx="889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-2611120</wp:posOffset>
            </wp:positionV>
            <wp:extent cx="889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-2593975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-2576830</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-2559685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-2542540</wp:posOffset>
            </wp:positionV>
            <wp:extent cx="889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-2525395</wp:posOffset>
            </wp:positionV>
            <wp:extent cx="889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-2491105</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-2473960</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-2456815</wp:posOffset>
            </wp:positionV>
            <wp:extent cx="889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-2439670</wp:posOffset>
            </wp:positionV>
            <wp:extent cx="88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-2422525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-2405380</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889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-2353945</wp:posOffset>
            </wp:positionV>
            <wp:extent cx="889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-2336800</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-2319655</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-2302510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-2285365</wp:posOffset>
            </wp:positionV>
            <wp:extent cx="889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-2268220</wp:posOffset>
            </wp:positionV>
            <wp:extent cx="889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-2251075</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-2233930</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-2216785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-2199640</wp:posOffset>
            </wp:positionV>
            <wp:extent cx="889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-2182495</wp:posOffset>
            </wp:positionV>
            <wp:extent cx="88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-2165350</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-2148205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-2131060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-2113915</wp:posOffset>
            </wp:positionV>
            <wp:extent cx="889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-2096770</wp:posOffset>
            </wp:positionV>
            <wp:extent cx="889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-2079625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-2062480</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-2045335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-2028190</wp:posOffset>
            </wp:positionV>
            <wp:extent cx="889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-2011045</wp:posOffset>
            </wp:positionV>
            <wp:extent cx="88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-1993900</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-1976755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-1959610</wp:posOffset>
            </wp:positionV>
            <wp:extent cx="889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-1942465</wp:posOffset>
            </wp:positionV>
            <wp:extent cx="889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-1925320</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-1908175</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-1891030</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-1873885</wp:posOffset>
            </wp:positionV>
            <wp:extent cx="889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-1856740</wp:posOffset>
            </wp:positionV>
            <wp:extent cx="889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-1839595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-1822450</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-1805305</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-1788160</wp:posOffset>
            </wp:positionV>
            <wp:extent cx="889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-1771015</wp:posOffset>
            </wp:positionV>
            <wp:extent cx="889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-1753870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-1736725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-1719580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-1702435</wp:posOffset>
            </wp:positionV>
            <wp:extent cx="889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-1685290</wp:posOffset>
            </wp:positionV>
            <wp:extent cx="889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-1668145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-1651000</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-1633855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-1616710</wp:posOffset>
            </wp:positionV>
            <wp:extent cx="889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-1599565</wp:posOffset>
            </wp:positionV>
            <wp:extent cx="889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-1582420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-1565275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-1548130</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-1530985</wp:posOffset>
            </wp:positionV>
            <wp:extent cx="889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-1513840</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-1496695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-1479550</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-1445260</wp:posOffset>
            </wp:positionV>
            <wp:extent cx="889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-1428115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-1410970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-1393825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-1376680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-1359535</wp:posOffset>
            </wp:positionV>
            <wp:extent cx="889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-1342390</wp:posOffset>
            </wp:positionV>
            <wp:extent cx="889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-1325245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-1290955</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-1273810</wp:posOffset>
            </wp:positionV>
            <wp:extent cx="889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-1256665</wp:posOffset>
            </wp:positionV>
            <wp:extent cx="889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-1222375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-1205230</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-1188085</wp:posOffset>
            </wp:positionV>
            <wp:extent cx="889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889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-1153795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-1119505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-1102360</wp:posOffset>
            </wp:positionV>
            <wp:extent cx="889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-1085215</wp:posOffset>
            </wp:positionV>
            <wp:extent cx="889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-1068070</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-1050925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-1033780</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-1016635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-999490</wp:posOffset>
            </wp:positionV>
            <wp:extent cx="889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-982345</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-965200</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-948055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-930910</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-913765</wp:posOffset>
            </wp:positionV>
            <wp:extent cx="889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-896620</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-862330</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-845185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-828040</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-810895</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-793750</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889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-759460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-742315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-708025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-690880</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-673735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-656590</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-639445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889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889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889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889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wp:posOffset>
            </wp:positionV>
            <wp:extent cx="889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889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889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-5800090</wp:posOffset>
            </wp:positionV>
            <wp:extent cx="889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-5782945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-5765800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-5748655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-5731510</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-5714365</wp:posOffset>
            </wp:positionV>
            <wp:extent cx="889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-5697220</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-5680075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-5662930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-5645785</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-5628640</wp:posOffset>
            </wp:positionV>
            <wp:extent cx="889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-5611495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-5594350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-5577205</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-5560060</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-5542915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-5525770</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-5508625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-5491480</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-5474335</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-5457190</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-5440045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-5422900</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-5405755</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-5388610</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-5371465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-5354320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-5337175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-5320030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-5302885</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-5285740</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-5268595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-5251450</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-5234305</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-5217160</wp:posOffset>
            </wp:positionV>
            <wp:extent cx="88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-5200015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-5182870</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-5165725</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-5148580</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-5131435</wp:posOffset>
            </wp:positionV>
            <wp:extent cx="889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-5114290</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-5097145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-5080000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-5062855</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-5045710</wp:posOffset>
            </wp:positionV>
            <wp:extent cx="889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-5028565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-5011420</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-4994275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-4977130</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-4959985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-4942840</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-4925695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-4908550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-4891405</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-4874260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-4857115</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-4839970</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-4822825</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-4805680</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-4788535</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-4771390</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-4754245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-4737100</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-4719955</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-4702810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-4685665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-4668520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-4651375</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-4634230</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-4617085</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-4599940</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-4582795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-4565650</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-4548505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-4531360</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-4514215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-4497070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-4479925</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-4462780</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-4445635</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-4428490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-4411345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-4394200</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-4377055</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-4359910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-4342765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-4325620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-4308475</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-4291330</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-4274185</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-4257040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-4239895</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-4222750</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-4205605</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-4188460</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-4171315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-4154170</wp:posOffset>
            </wp:positionV>
            <wp:extent cx="889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-4137025</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-4119880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-4102735</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-4085590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-4068445</wp:posOffset>
            </wp:positionV>
            <wp:extent cx="88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-4051300</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-4034155</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-4017010</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-3999865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-3982720</wp:posOffset>
            </wp:positionV>
            <wp:extent cx="889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-3965575</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-3948430</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-3931285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-3914140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-3896995</wp:posOffset>
            </wp:positionV>
            <wp:extent cx="889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-3879850</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-3862705</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-3845560</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-3828415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-3811270</wp:posOffset>
            </wp:positionV>
            <wp:extent cx="88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-3794125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-3776980</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-3759835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-3742690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-3725545</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-3708400</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-3691255</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-3674110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-3656965</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-3639820</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-3622675</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-3605530</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-3588385</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-3571240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-3554095</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-3536950</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-3519805</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-3502660</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-3485515</wp:posOffset>
            </wp:positionV>
            <wp:extent cx="889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-3468370</wp:posOffset>
            </wp:positionV>
            <wp:extent cx="889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-3451225</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-3434080</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-3416935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-3399790</wp:posOffset>
            </wp:positionV>
            <wp:extent cx="88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-3382645</wp:posOffset>
            </wp:positionV>
            <wp:extent cx="889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-3365500</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-3348355</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-3331210</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-3314065</wp:posOffset>
            </wp:positionV>
            <wp:extent cx="889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-3296920</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-3279775</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-3262630</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-3245485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-3228340</wp:posOffset>
            </wp:positionV>
            <wp:extent cx="889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-3211195</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-3194050</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-3176905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-3159760</wp:posOffset>
            </wp:positionV>
            <wp:extent cx="889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-3142615</wp:posOffset>
            </wp:positionV>
            <wp:extent cx="88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-3125470</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-3108325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-3091180</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-3074035</wp:posOffset>
            </wp:positionV>
            <wp:extent cx="889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-3056890</wp:posOffset>
            </wp:positionV>
            <wp:extent cx="889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-3039745</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-3022600</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-3005455</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-2988310</wp:posOffset>
            </wp:positionV>
            <wp:extent cx="88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-2971165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-2954020</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-2936875</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-2919730</wp:posOffset>
            </wp:positionV>
            <wp:extent cx="889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-2902585</wp:posOffset>
            </wp:positionV>
            <wp:extent cx="889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-2885440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-2868295</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-2851150</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-2834005</wp:posOffset>
            </wp:positionV>
            <wp:extent cx="88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-2816860</wp:posOffset>
            </wp:positionV>
            <wp:extent cx="889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-2799715</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-2782570</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-2765425</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-2748280</wp:posOffset>
            </wp:positionV>
            <wp:extent cx="889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-2731135</wp:posOffset>
            </wp:positionV>
            <wp:extent cx="88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-2713990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-2696845</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-2679700</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-2662555</wp:posOffset>
            </wp:positionV>
            <wp:extent cx="889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-2645410</wp:posOffset>
            </wp:positionV>
            <wp:extent cx="889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-2628265</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-2611120</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-2593975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-2576830</wp:posOffset>
            </wp:positionV>
            <wp:extent cx="88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-2559685</wp:posOffset>
            </wp:positionV>
            <wp:extent cx="889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-2542540</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-2525395</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-2508250</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-2491105</wp:posOffset>
            </wp:positionV>
            <wp:extent cx="889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-2473960</wp:posOffset>
            </wp:positionV>
            <wp:extent cx="88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-2456815</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-2439670</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-2422525</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-2405380</wp:posOffset>
            </wp:positionV>
            <wp:extent cx="889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-2388235</wp:posOffset>
            </wp:positionV>
            <wp:extent cx="889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-2371090</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-2353945</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-2336800</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-2319655</wp:posOffset>
            </wp:positionV>
            <wp:extent cx="88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-2302510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-2285365</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-2268220</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-2251075</wp:posOffset>
            </wp:positionV>
            <wp:extent cx="889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-2233930</wp:posOffset>
            </wp:positionV>
            <wp:extent cx="889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-2216785</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-2199640</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-2182495</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-2165350</wp:posOffset>
            </wp:positionV>
            <wp:extent cx="88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-2148205</wp:posOffset>
            </wp:positionV>
            <wp:extent cx="889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-2131060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-2113915</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-2096770</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-2079625</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-2062480</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-2045335</wp:posOffset>
            </wp:positionV>
            <wp:extent cx="8890"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-2028190</wp:posOffset>
            </wp:positionV>
            <wp:extent cx="889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-2011045</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-1993900</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-1976755</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-1959610</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-1942465</wp:posOffset>
            </wp:positionV>
            <wp:extent cx="889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-1925320</wp:posOffset>
            </wp:positionV>
            <wp:extent cx="8890"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-1908175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-1891030</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-1873885</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-1856740</wp:posOffset>
            </wp:positionV>
            <wp:extent cx="88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-1839595</wp:posOffset>
            </wp:positionV>
            <wp:extent cx="889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-1822450</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-1805305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-1788160</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-1771015</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-1753870</wp:posOffset>
            </wp:positionV>
            <wp:extent cx="8890"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-1736725</wp:posOffset>
            </wp:positionV>
            <wp:extent cx="889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-1719580</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-1702435</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-1685290</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-1668145</wp:posOffset>
            </wp:positionV>
            <wp:extent cx="8890"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-1651000</wp:posOffset>
            </wp:positionV>
            <wp:extent cx="889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-1633855</wp:posOffset>
            </wp:positionV>
            <wp:extent cx="8890"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-1616710</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-1599565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-1582420</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-1565275</wp:posOffset>
            </wp:positionV>
            <wp:extent cx="889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-1548130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-1530985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-1513840</wp:posOffset>
            </wp:positionV>
            <wp:extent cx="8890"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-1496695</wp:posOffset>
            </wp:positionV>
            <wp:extent cx="8890"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-1479550</wp:posOffset>
            </wp:positionV>
            <wp:extent cx="889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-1462405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-1445260</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-1428115</wp:posOffset>
            </wp:positionV>
            <wp:extent cx="8890"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-1410970</wp:posOffset>
            </wp:positionV>
            <wp:extent cx="8890"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-1393825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-1376680</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-1359535</wp:posOffset>
            </wp:positionV>
            <wp:extent cx="88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-1342390</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-1325245</wp:posOffset>
            </wp:positionV>
            <wp:extent cx="8890"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-1308100</wp:posOffset>
            </wp:positionV>
            <wp:extent cx="8890"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-1290955</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-1273810</wp:posOffset>
            </wp:positionV>
            <wp:extent cx="889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-1256665</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-1239520</wp:posOffset>
            </wp:positionV>
            <wp:extent cx="8890"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-1222375</wp:posOffset>
            </wp:positionV>
            <wp:extent cx="8890" cy="825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-1205230</wp:posOffset>
            </wp:positionV>
            <wp:extent cx="8890"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-1188085</wp:posOffset>
            </wp:positionV>
            <wp:extent cx="88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-1170940</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-1153795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-1136650</wp:posOffset>
            </wp:positionV>
            <wp:extent cx="8890" cy="825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-1119505</wp:posOffset>
            </wp:positionV>
            <wp:extent cx="8890"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-1102360</wp:posOffset>
            </wp:positionV>
            <wp:extent cx="889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-1085215</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-1068070</wp:posOffset>
            </wp:positionV>
            <wp:extent cx="889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-1050925</wp:posOffset>
            </wp:positionV>
            <wp:extent cx="8890"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-1033780</wp:posOffset>
            </wp:positionV>
            <wp:extent cx="8890"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-1016635</wp:posOffset>
            </wp:positionV>
            <wp:extent cx="8890" cy="825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-999490</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-982345</wp:posOffset>
            </wp:positionV>
            <wp:extent cx="889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-965200</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-948055</wp:posOffset>
            </wp:positionV>
            <wp:extent cx="8890"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-930910</wp:posOffset>
            </wp:positionV>
            <wp:extent cx="8890" cy="825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-913765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-896620</wp:posOffset>
            </wp:positionV>
            <wp:extent cx="889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-879475</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-862330</wp:posOffset>
            </wp:positionV>
            <wp:extent cx="8890"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-845185</wp:posOffset>
            </wp:positionV>
            <wp:extent cx="889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-828040</wp:posOffset>
            </wp:positionV>
            <wp:extent cx="8890"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-810895</wp:posOffset>
            </wp:positionV>
            <wp:extent cx="889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-793750</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-776605</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-759460</wp:posOffset>
            </wp:positionV>
            <wp:extent cx="8890"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-742315</wp:posOffset>
            </wp:positionV>
            <wp:extent cx="8890"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-725170</wp:posOffset>
            </wp:positionV>
            <wp:extent cx="8890"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-708025</wp:posOffset>
            </wp:positionV>
            <wp:extent cx="8890"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-690880</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-673735</wp:posOffset>
            </wp:positionV>
            <wp:extent cx="8890"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-656590</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-639445</wp:posOffset>
            </wp:positionV>
            <wp:extent cx="8890"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-622300</wp:posOffset>
            </wp:positionV>
            <wp:extent cx="8890"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-605155</wp:posOffset>
            </wp:positionV>
            <wp:extent cx="889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-588010</wp:posOffset>
            </wp:positionV>
            <wp:extent cx="8890"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-570865</wp:posOffset>
            </wp:positionV>
            <wp:extent cx="8890" cy="825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-553720</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-536575</wp:posOffset>
            </wp:positionV>
            <wp:extent cx="8890" cy="825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-519430</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-502285</wp:posOffset>
            </wp:positionV>
            <wp:extent cx="8890" cy="825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-485140</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-467995</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-450850</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-433705</wp:posOffset>
            </wp:positionV>
            <wp:extent cx="8890"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-416560</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-399415</wp:posOffset>
            </wp:positionV>
            <wp:extent cx="8890"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-382270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-365125</wp:posOffset>
            </wp:positionV>
            <wp:extent cx="889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-347980</wp:posOffset>
            </wp:positionV>
            <wp:extent cx="8890"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-330835</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-313690</wp:posOffset>
            </wp:positionV>
            <wp:extent cx="8890"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-296545</wp:posOffset>
            </wp:positionV>
            <wp:extent cx="8890"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-279400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-262255</wp:posOffset>
            </wp:positionV>
            <wp:extent cx="889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-245110</wp:posOffset>
            </wp:positionV>
            <wp:extent cx="8890"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-227965</wp:posOffset>
            </wp:positionV>
            <wp:extent cx="8890"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-210820</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-193675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-176530</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-159385</wp:posOffset>
            </wp:positionV>
            <wp:extent cx="8890"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-142240</wp:posOffset>
            </wp:positionV>
            <wp:extent cx="8890"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-125095</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-107950</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-90805</wp:posOffset>
            </wp:positionV>
            <wp:extent cx="889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-73660</wp:posOffset>
            </wp:positionV>
            <wp:extent cx="889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-56515</wp:posOffset>
            </wp:positionV>
            <wp:extent cx="8890"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967" w:orient="portrait"/>
          <w:cols w:equalWidth="0" w:num="1">
            <w:col w:w="11180"/>
          </w:cols>
          <w:pgMar w:left="320" w:top="1405" w:right="399" w:bottom="0" w:gutter="0" w:footer="0" w:header="0"/>
          <w:type w:val="continuous"/>
        </w:sectPr>
      </w:pPr>
    </w:p>
    <w:bookmarkStart w:id="88" w:name="page89"/>
    <w:bookmarkEnd w:id="88"/>
    <w:p>
      <w:pPr>
        <w:ind w:left="80"/>
        <w:spacing w:after="0" w:line="256" w:lineRule="auto"/>
        <w:rPr>
          <w:sz w:val="20"/>
          <w:szCs w:val="20"/>
          <w:color w:val="auto"/>
        </w:rPr>
      </w:pPr>
      <w:r>
        <w:rPr>
          <w:rFonts w:ascii="Arial" w:cs="Arial" w:eastAsia="Arial" w:hAnsi="Arial"/>
          <w:sz w:val="16"/>
          <w:szCs w:val="16"/>
          <w:b w:val="1"/>
          <w:bCs w:val="1"/>
          <w:i w:val="1"/>
          <w:iCs w:val="1"/>
          <w:color w:val="auto"/>
        </w:rPr>
        <w:t>other equity awards or administer or maintain such awards. The Optionee also understands that the Company has no obligation to substitute other forms of awards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3531870" cy="329184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6">
                      <a:extLst>
                        <a:ext uri="{28A0092B-C50C-407E-A947-70E740481C1C}"/>
                      </a:extLst>
                    </a:blip>
                    <a:srcRect/>
                    <a:stretch>
                      <a:fillRect/>
                    </a:stretch>
                  </pic:blipFill>
                  <pic:spPr bwMode="auto">
                    <a:xfrm>
                      <a:off x="0" y="0"/>
                      <a:ext cx="3531870" cy="32918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16"/>
          <w:szCs w:val="16"/>
          <w:b w:val="1"/>
          <w:bCs w:val="1"/>
          <w:i w:val="1"/>
          <w:iCs w:val="1"/>
          <w:color w:val="auto"/>
        </w:rPr>
        <w:t>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-2908935</wp:posOffset>
            </wp:positionV>
            <wp:extent cx="3600450" cy="329184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7">
                      <a:extLst>
                        <a:ext uri="{28A0092B-C50C-407E-A947-70E740481C1C}"/>
                      </a:extLst>
                    </a:blip>
                    <a:srcRect/>
                    <a:stretch>
                      <a:fillRect/>
                    </a:stretch>
                  </pic:blipFill>
                  <pic:spPr bwMode="auto">
                    <a:xfrm>
                      <a:off x="0" y="0"/>
                      <a:ext cx="3600450" cy="32918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180"/>
            <w:col w:w="552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Director Notification Obligation. </w:t>
      </w:r>
      <w:r>
        <w:rPr>
          <w:rFonts w:ascii="Arial" w:cs="Arial" w:eastAsia="Arial" w:hAnsi="Arial"/>
          <w:sz w:val="18"/>
          <w:szCs w:val="18"/>
          <w:color w:val="auto"/>
        </w:rPr>
        <w:t>If the Optionee is a director of the Company’s Malaysian subsidiary or affiliate, the Optionee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notification requirements under the Malaysian Companies Act. Among these requirements is an obligation to notify the Malaysian subsidiary or affiliate in writing when the Optionee receives or disposes of an interest (</w:t>
      </w:r>
      <w:r>
        <w:rPr>
          <w:rFonts w:ascii="Arial" w:cs="Arial" w:eastAsia="Arial" w:hAnsi="Arial"/>
          <w:sz w:val="18"/>
          <w:szCs w:val="18"/>
          <w:i w:val="1"/>
          <w:iCs w:val="1"/>
          <w:color w:val="auto"/>
        </w:rPr>
        <w:t>e.g.</w:t>
      </w:r>
      <w:r>
        <w:rPr>
          <w:rFonts w:ascii="Arial" w:cs="Arial" w:eastAsia="Arial" w:hAnsi="Arial"/>
          <w:sz w:val="18"/>
          <w:szCs w:val="18"/>
          <w:color w:val="auto"/>
        </w:rPr>
        <w:t>, an Option or shares of Common Stock)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80"/>
          </w:cols>
          <w:pgMar w:left="320" w:top="121" w:right="399" w:bottom="1440" w:gutter="0" w:footer="0" w:header="0"/>
          <w:type w:val="continuous"/>
        </w:sectPr>
      </w:pPr>
    </w:p>
    <w:bookmarkStart w:id="89" w:name="page90"/>
    <w:bookmarkEnd w:id="89"/>
    <w:p>
      <w:pPr>
        <w:ind w:right="160"/>
        <w:spacing w:after="0" w:line="229" w:lineRule="auto"/>
        <w:rPr>
          <w:sz w:val="20"/>
          <w:szCs w:val="20"/>
          <w:color w:val="auto"/>
        </w:rPr>
      </w:pPr>
      <w:r>
        <w:rPr>
          <w:rFonts w:ascii="Arial" w:cs="Arial" w:eastAsia="Arial" w:hAnsi="Arial"/>
          <w:sz w:val="20"/>
          <w:szCs w:val="20"/>
          <w:color w:val="auto"/>
        </w:rPr>
        <w:t>Company or any related company. Such notifications must be made within 14 days of receiving or disposing of any interest in the Company or any related company.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Labor Law Policy. </w:t>
      </w:r>
      <w:r>
        <w:rPr>
          <w:rFonts w:ascii="Arial" w:cs="Arial" w:eastAsia="Arial" w:hAnsi="Arial"/>
          <w:sz w:val="18"/>
          <w:szCs w:val="18"/>
          <w:color w:val="auto"/>
        </w:rPr>
        <w:t>In accepting the grant of the Option, the Optionee expressly recognizes that Mondelēz International, Inc.,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Mondelēz México, S. de R.L. de C.V., located at Avenida Santa Fe 485, Piso 7, Colonia Cruz Manca, Mexico City, C.P. 05349 Mexico. Based on the foregoing, the Optionee expressly recognizes that the Plan and the benefits that he or she may derive from participating in the Plan do not establish any rights between the Optionee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Optionee’s employment.</w:t>
      </w:r>
    </w:p>
    <w:p>
      <w:pPr>
        <w:spacing w:after="0" w:line="161" w:lineRule="exact"/>
        <w:rPr>
          <w:sz w:val="20"/>
          <w:szCs w:val="20"/>
          <w:color w:val="auto"/>
        </w:rPr>
      </w:pPr>
    </w:p>
    <w:p>
      <w:pPr>
        <w:ind w:right="120"/>
        <w:spacing w:after="0" w:line="218" w:lineRule="auto"/>
        <w:rPr>
          <w:sz w:val="20"/>
          <w:szCs w:val="20"/>
          <w:color w:val="auto"/>
        </w:rPr>
      </w:pPr>
      <w:r>
        <w:rPr>
          <w:rFonts w:ascii="Arial" w:cs="Arial" w:eastAsia="Arial" w:hAnsi="Arial"/>
          <w:sz w:val="20"/>
          <w:szCs w:val="20"/>
          <w:color w:val="auto"/>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By accepting the Option, the Optionee acknowledges that Optionee has received copies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the Plan and the Agreement in their entirety and fully understands and accepts all provisions of the Plan and the Agreement.</w:t>
      </w:r>
    </w:p>
    <w:p>
      <w:pPr>
        <w:spacing w:after="0" w:line="124" w:lineRule="exact"/>
        <w:rPr>
          <w:sz w:val="20"/>
          <w:szCs w:val="20"/>
          <w:color w:val="auto"/>
        </w:rPr>
      </w:pPr>
    </w:p>
    <w:p>
      <w:pPr>
        <w:ind w:right="80"/>
        <w:spacing w:after="0" w:line="207" w:lineRule="auto"/>
        <w:rPr>
          <w:sz w:val="20"/>
          <w:szCs w:val="20"/>
          <w:color w:val="auto"/>
        </w:rPr>
      </w:pPr>
      <w:r>
        <w:rPr>
          <w:rFonts w:ascii="Arial" w:cs="Arial" w:eastAsia="Arial" w:hAnsi="Arial"/>
          <w:sz w:val="20"/>
          <w:szCs w:val="20"/>
          <w:color w:val="auto"/>
        </w:rPr>
        <w:t>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w:t>
      </w:r>
    </w:p>
    <w:p>
      <w:pPr>
        <w:spacing w:after="0" w:line="160" w:lineRule="exact"/>
        <w:rPr>
          <w:sz w:val="20"/>
          <w:szCs w:val="20"/>
          <w:color w:val="auto"/>
        </w:rPr>
      </w:pPr>
    </w:p>
    <w:p>
      <w:pPr>
        <w:ind w:right="20"/>
        <w:spacing w:after="0" w:line="224" w:lineRule="auto"/>
        <w:rPr>
          <w:sz w:val="20"/>
          <w:szCs w:val="20"/>
          <w:color w:val="auto"/>
        </w:rPr>
      </w:pPr>
      <w:r>
        <w:rPr>
          <w:rFonts w:ascii="Arial" w:cs="Arial" w:eastAsia="Arial" w:hAnsi="Arial"/>
          <w:sz w:val="19"/>
          <w:szCs w:val="19"/>
          <w:color w:val="auto"/>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169" w:lineRule="exact"/>
        <w:rPr>
          <w:sz w:val="20"/>
          <w:szCs w:val="20"/>
          <w:color w:val="auto"/>
        </w:rPr>
      </w:pPr>
    </w:p>
    <w:p>
      <w:pPr>
        <w:ind w:right="20"/>
        <w:spacing w:after="0" w:line="205" w:lineRule="auto"/>
        <w:rPr>
          <w:sz w:val="20"/>
          <w:szCs w:val="20"/>
          <w:color w:val="auto"/>
        </w:rPr>
      </w:pPr>
      <w:r>
        <w:rPr>
          <w:rFonts w:ascii="Arial" w:cs="Arial" w:eastAsia="Arial" w:hAnsi="Arial"/>
          <w:sz w:val="20"/>
          <w:szCs w:val="20"/>
          <w:b w:val="1"/>
          <w:bCs w:val="1"/>
          <w:color w:val="auto"/>
        </w:rPr>
        <w:t xml:space="preserve">Política Laboral. </w:t>
      </w:r>
      <w:r>
        <w:rPr>
          <w:rFonts w:ascii="Arial" w:cs="Arial" w:eastAsia="Arial" w:hAnsi="Arial"/>
          <w:sz w:val="20"/>
          <w:szCs w:val="20"/>
          <w:color w:val="auto"/>
        </w:rPr>
        <w:t>Al aceptar el otorgamiento de la Opción de Compra de Acciones, el Optionee expresamente reconoce que Mondelēz</w:t>
      </w:r>
      <w:r>
        <w:rPr>
          <w:rFonts w:ascii="Arial" w:cs="Arial" w:eastAsia="Arial" w:hAnsi="Arial"/>
          <w:sz w:val="20"/>
          <w:szCs w:val="20"/>
          <w:b w:val="1"/>
          <w:bCs w:val="1"/>
          <w:color w:val="auto"/>
        </w:rPr>
        <w:t xml:space="preserve"> </w:t>
      </w:r>
      <w:r>
        <w:rPr>
          <w:rFonts w:ascii="Arial" w:cs="Arial" w:eastAsia="Arial" w:hAnsi="Arial"/>
          <w:sz w:val="20"/>
          <w:szCs w:val="20"/>
          <w:color w:val="auto"/>
        </w:rPr>
        <w:t>International, Inc., con domicilio registrado ubicado en 905 West Fulton Market, Suite 200, Chicago, Illinois 60607,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Mondelēz México,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Mondelēz México, S. de R.L. de C.V. y no forma parte de las condiciones de trabajo y/o las prestaciones otorgadas por Mondelēz México, S. de 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05" w:right="339" w:bottom="1440" w:gutter="0" w:footer="0" w:header="0"/>
        </w:sectPr>
      </w:pPr>
    </w:p>
    <w:bookmarkStart w:id="90" w:name="page91"/>
    <w:bookmarkEnd w:id="90"/>
    <w:p>
      <w:pPr>
        <w:ind w:right="260"/>
        <w:spacing w:after="0" w:line="229" w:lineRule="auto"/>
        <w:rPr>
          <w:sz w:val="20"/>
          <w:szCs w:val="20"/>
          <w:color w:val="auto"/>
        </w:rPr>
      </w:pPr>
      <w:r>
        <w:rPr>
          <w:rFonts w:ascii="Arial" w:cs="Arial" w:eastAsia="Arial" w:hAnsi="Arial"/>
          <w:sz w:val="20"/>
          <w:szCs w:val="20"/>
          <w:color w:val="auto"/>
        </w:rPr>
        <w:t>de C.V. y que cualquier modificación al Plan o su terminación no constituye un cambio o impedimento de los términos y condiciones de la relación de trabajo del Optionee.</w:t>
      </w:r>
    </w:p>
    <w:p>
      <w:pPr>
        <w:spacing w:after="0" w:line="155" w:lineRule="exact"/>
        <w:rPr>
          <w:sz w:val="20"/>
          <w:szCs w:val="20"/>
          <w:color w:val="auto"/>
        </w:rPr>
      </w:pPr>
    </w:p>
    <w:p>
      <w:pPr>
        <w:ind w:right="380"/>
        <w:spacing w:after="0" w:line="218" w:lineRule="auto"/>
        <w:rPr>
          <w:sz w:val="20"/>
          <w:szCs w:val="20"/>
          <w:color w:val="auto"/>
        </w:rPr>
      </w:pPr>
      <w:r>
        <w:rPr>
          <w:rFonts w:ascii="Arial" w:cs="Arial" w:eastAsia="Arial" w:hAnsi="Arial"/>
          <w:sz w:val="20"/>
          <w:szCs w:val="20"/>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50" w:lineRule="exact"/>
        <w:rPr>
          <w:sz w:val="20"/>
          <w:szCs w:val="20"/>
          <w:color w:val="auto"/>
        </w:rPr>
      </w:pPr>
    </w:p>
    <w:p>
      <w:pPr>
        <w:jc w:val="both"/>
        <w:ind w:right="120"/>
        <w:spacing w:after="0" w:line="220"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 Opción de Compra de Acciones, el Optionee reconoce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recibido copias del Plan, que ha revisado el Plan y el Acuerdo en su totalidad y que entiende y acepta completamente todas las disposiciones contenidas en el Plan y en el Acuerdo.</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 Opción de Compra de Acciones.</w:t>
      </w:r>
    </w:p>
    <w:p>
      <w:pPr>
        <w:spacing w:after="0" w:line="14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6"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Option and the shares of Common Stock offered under the Plan have not been registered with the 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 of Securities maintained by the Mexican National Banking and Securities Commission and cannot be offered or sold publicly in Mexico. In addition, the Plan, the 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exchange control requirements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Morocco,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Exercisability Upon Termination of Employment</w:t>
      </w:r>
      <w:r>
        <w:rPr>
          <w:rFonts w:ascii="Arial" w:cs="Arial" w:eastAsia="Arial" w:hAnsi="Arial"/>
          <w:sz w:val="19"/>
          <w:szCs w:val="19"/>
          <w:color w:val="auto"/>
        </w:rPr>
        <w:t>. The following provision replaces in its entirety paragraph 3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05" w:right="339" w:bottom="1440" w:gutter="0" w:footer="0" w:header="0"/>
        </w:sectPr>
      </w:pPr>
    </w:p>
    <w:bookmarkStart w:id="91" w:name="page92"/>
    <w:bookmarkEnd w:id="91"/>
    <w:p>
      <w:pPr>
        <w:ind w:right="180"/>
        <w:spacing w:after="0" w:line="213" w:lineRule="auto"/>
        <w:rPr>
          <w:sz w:val="20"/>
          <w:szCs w:val="20"/>
          <w:color w:val="auto"/>
        </w:rPr>
      </w:pPr>
      <w:r>
        <w:rPr>
          <w:rFonts w:ascii="Arial" w:cs="Arial" w:eastAsia="Arial" w:hAnsi="Arial"/>
          <w:sz w:val="20"/>
          <w:szCs w:val="20"/>
          <w:color w:val="auto"/>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Exchange Control Requirements. </w:t>
      </w:r>
      <w:r>
        <w:rPr>
          <w:rFonts w:ascii="Arial" w:cs="Arial" w:eastAsia="Arial" w:hAnsi="Arial"/>
          <w:sz w:val="18"/>
          <w:szCs w:val="18"/>
          <w:color w:val="auto"/>
        </w:rPr>
        <w:t>The Optionee is required to immediately repatriate to Morocco the proceeds from the cashless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Arial" w:cs="Arial" w:eastAsia="Arial" w:hAnsi="Arial"/>
          <w:sz w:val="18"/>
          <w:szCs w:val="18"/>
          <w:i w:val="1"/>
          <w:iCs w:val="1"/>
          <w:color w:val="auto"/>
        </w:rPr>
        <w:t>Office des</w:t>
      </w:r>
      <w:r>
        <w:rPr>
          <w:rFonts w:ascii="Arial" w:cs="Arial" w:eastAsia="Arial" w:hAnsi="Arial"/>
          <w:sz w:val="18"/>
          <w:szCs w:val="18"/>
          <w:color w:val="auto"/>
        </w:rPr>
        <w:t xml:space="preserve"> </w:t>
      </w:r>
      <w:r>
        <w:rPr>
          <w:rFonts w:ascii="Arial" w:cs="Arial" w:eastAsia="Arial" w:hAnsi="Arial"/>
          <w:sz w:val="18"/>
          <w:szCs w:val="18"/>
          <w:i w:val="1"/>
          <w:iCs w:val="1"/>
          <w:color w:val="auto"/>
        </w:rPr>
        <w:t>Changes</w:t>
      </w:r>
      <w:r>
        <w:rPr>
          <w:rFonts w:ascii="Arial" w:cs="Arial" w:eastAsia="Arial" w:hAnsi="Arial"/>
          <w:sz w:val="18"/>
          <w:szCs w:val="18"/>
          <w:color w:val="auto"/>
        </w:rPr>
        <w:t>. The Optionee is responsible for ensuring compliance with all exchange control laws in Morocco.</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181" w:lineRule="exact"/>
        <w:rPr>
          <w:sz w:val="20"/>
          <w:szCs w:val="20"/>
          <w:color w:val="auto"/>
        </w:rPr>
      </w:pPr>
    </w:p>
    <w:p>
      <w:pPr>
        <w:ind w:right="100"/>
        <w:spacing w:after="0" w:line="21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20"/>
        <w:spacing w:after="0" w:line="23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Optionee is being offered an Option which allows the Optionee to purchase shares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Common Stock in accordance with the terms of the Plan and the Agreement. The shares of Common Stock, if purchased, give the Optionee a stake in the ownership of the Company. The Optionee may receive a return if dividends are paid.</w:t>
      </w:r>
    </w:p>
    <w:p>
      <w:pPr>
        <w:spacing w:after="0" w:line="155" w:lineRule="exact"/>
        <w:rPr>
          <w:sz w:val="20"/>
          <w:szCs w:val="20"/>
          <w:color w:val="auto"/>
        </w:rPr>
      </w:pPr>
    </w:p>
    <w:p>
      <w:pPr>
        <w:ind w:right="360"/>
        <w:spacing w:after="0" w:line="229" w:lineRule="auto"/>
        <w:rPr>
          <w:sz w:val="20"/>
          <w:szCs w:val="20"/>
          <w:color w:val="auto"/>
        </w:rPr>
      </w:pPr>
      <w:r>
        <w:rPr>
          <w:rFonts w:ascii="Arial" w:cs="Arial" w:eastAsia="Arial" w:hAnsi="Arial"/>
          <w:sz w:val="20"/>
          <w:szCs w:val="20"/>
          <w:i w:val="1"/>
          <w:iCs w:val="1"/>
          <w:color w:val="auto"/>
        </w:rPr>
        <w:t>If the Company runs into financial difficulties and is wound up, the Optionee will be paid only after all creditors and holders of preferred shares have been paid. The Optionee may lose some or all of his or her investment.</w:t>
      </w:r>
    </w:p>
    <w:p>
      <w:pPr>
        <w:spacing w:after="0" w:line="155"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jc w:val="both"/>
        <w:ind w:right="100"/>
        <w:spacing w:after="0" w:line="242"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spacing w:after="0" w:line="153" w:lineRule="exact"/>
        <w:rPr>
          <w:sz w:val="20"/>
          <w:szCs w:val="20"/>
          <w:color w:val="auto"/>
        </w:rPr>
      </w:pPr>
    </w:p>
    <w:p>
      <w:pPr>
        <w:ind w:right="320"/>
        <w:spacing w:after="0" w:line="229" w:lineRule="auto"/>
        <w:rPr>
          <w:sz w:val="20"/>
          <w:szCs w:val="20"/>
          <w:color w:val="auto"/>
        </w:rPr>
      </w:pPr>
      <w:r>
        <w:rPr>
          <w:rFonts w:ascii="Arial" w:cs="Arial" w:eastAsia="Arial" w:hAnsi="Arial"/>
          <w:sz w:val="20"/>
          <w:szCs w:val="20"/>
          <w:i w:val="1"/>
          <w:iCs w:val="1"/>
          <w:color w:val="auto"/>
        </w:rPr>
        <w:t>The Optionee understands that he or she should ask questions, read all documents carefully, and seek independent financial advice before exercising any Options under the Plan.</w:t>
      </w:r>
    </w:p>
    <w:p>
      <w:pPr>
        <w:spacing w:after="0" w:line="155" w:lineRule="exact"/>
        <w:rPr>
          <w:sz w:val="20"/>
          <w:szCs w:val="20"/>
          <w:color w:val="auto"/>
        </w:rPr>
      </w:pPr>
    </w:p>
    <w:p>
      <w:pPr>
        <w:jc w:val="both"/>
        <w:ind w:right="80"/>
        <w:spacing w:after="0" w:line="218" w:lineRule="auto"/>
        <w:rPr>
          <w:sz w:val="20"/>
          <w:szCs w:val="20"/>
          <w:color w:val="auto"/>
        </w:rPr>
      </w:pPr>
      <w:r>
        <w:rPr>
          <w:rFonts w:ascii="Arial" w:cs="Arial" w:eastAsia="Arial" w:hAnsi="Arial"/>
          <w:sz w:val="20"/>
          <w:szCs w:val="20"/>
          <w:i w:val="1"/>
          <w:iCs w:val="1"/>
          <w:color w:val="auto"/>
        </w:rPr>
        <w:t>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405" w:right="339" w:bottom="1440" w:gutter="0" w:footer="0" w:header="0"/>
        </w:sectPr>
      </w:pPr>
    </w:p>
    <w:bookmarkStart w:id="92" w:name="page93"/>
    <w:bookmarkEnd w:id="92"/>
    <w:p>
      <w:pPr>
        <w:ind w:right="240"/>
        <w:spacing w:after="0" w:line="229" w:lineRule="auto"/>
        <w:rPr>
          <w:sz w:val="20"/>
          <w:szCs w:val="20"/>
          <w:color w:val="auto"/>
        </w:rPr>
      </w:pPr>
      <w:r>
        <w:rPr>
          <w:rFonts w:ascii="Arial" w:cs="Arial" w:eastAsia="Arial" w:hAnsi="Arial"/>
          <w:sz w:val="20"/>
          <w:szCs w:val="20"/>
          <w:i w:val="1"/>
          <w:iCs w:val="1"/>
          <w:color w:val="auto"/>
        </w:rPr>
        <w:t>buyers. The Optionee understands that the Optionee may get less than his or her investment. The price will depend on the demand for the shares of Common Stock.</w:t>
      </w:r>
    </w:p>
    <w:p>
      <w:pPr>
        <w:spacing w:after="0" w:line="155" w:lineRule="exact"/>
        <w:rPr>
          <w:sz w:val="20"/>
          <w:szCs w:val="20"/>
          <w:color w:val="auto"/>
        </w:rPr>
      </w:pPr>
    </w:p>
    <w:p>
      <w:pPr>
        <w:ind w:right="120"/>
        <w:spacing w:after="0" w:line="213"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auto"/>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u w:val="single" w:color="auto"/>
          <w:color w:val="auto"/>
        </w:rPr>
        <w:t>http://ir.mondelezinternational.com/sec.cfm</w:t>
      </w:r>
      <w:r>
        <w:rPr>
          <w:rFonts w:ascii="Arial" w:cs="Arial" w:eastAsia="Arial" w:hAnsi="Arial"/>
          <w:sz w:val="20"/>
          <w:szCs w:val="20"/>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0"/>
        <w:spacing w:after="0" w:line="208"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Pakistan,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Optionee is required immediately to repatriate to Pakistan the proceeds from the sale of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acquired from participation in Plan, including the proceeds from the cashless exercise of the Option. The proceeds must be converted into local currency and the receipt of proceeds must be reported to the State Bank of Pakistan (the “</w:t>
      </w:r>
      <w:r>
        <w:rPr>
          <w:rFonts w:ascii="Arial" w:cs="Arial" w:eastAsia="Arial" w:hAnsi="Arial"/>
          <w:sz w:val="19"/>
          <w:szCs w:val="19"/>
          <w:u w:val="single" w:color="auto"/>
          <w:color w:val="auto"/>
        </w:rPr>
        <w:t>SBP</w:t>
      </w:r>
      <w:r>
        <w:rPr>
          <w:rFonts w:ascii="Arial" w:cs="Arial" w:eastAsia="Arial" w:hAnsi="Arial"/>
          <w:sz w:val="19"/>
          <w:szCs w:val="19"/>
          <w:color w:val="auto"/>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PANAMA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Neither the Options nor any shares of Common Stock that the Employee may acquire upon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constitute a public offering of securities, as they are available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1405" w:right="459" w:bottom="1440" w:gutter="0" w:footer="0" w:header="0"/>
        </w:sectPr>
      </w:pPr>
    </w:p>
    <w:bookmarkStart w:id="93" w:name="page94"/>
    <w:bookmarkEnd w:id="93"/>
    <w:p>
      <w:pPr>
        <w:ind w:right="440"/>
        <w:spacing w:after="0" w:line="419" w:lineRule="auto"/>
        <w:rPr>
          <w:sz w:val="20"/>
          <w:szCs w:val="20"/>
          <w:color w:val="auto"/>
        </w:rPr>
      </w:pPr>
      <w:r>
        <w:rPr>
          <w:rFonts w:ascii="Arial" w:cs="Arial" w:eastAsia="Arial" w:hAnsi="Arial"/>
          <w:sz w:val="20"/>
          <w:szCs w:val="20"/>
          <w:color w:val="auto"/>
        </w:rPr>
        <w:t xml:space="preserve">By accepting the Option, the Optionee acknowledges, understands and agrees that the Option is being granted </w:t>
      </w:r>
      <w:r>
        <w:rPr>
          <w:rFonts w:ascii="Arial" w:cs="Arial" w:eastAsia="Arial" w:hAnsi="Arial"/>
          <w:sz w:val="20"/>
          <w:szCs w:val="20"/>
          <w:i w:val="1"/>
          <w:iCs w:val="1"/>
          <w:color w:val="auto"/>
        </w:rPr>
        <w:t>ex gratia</w:t>
      </w:r>
      <w:r>
        <w:rPr>
          <w:rFonts w:ascii="Arial" w:cs="Arial" w:eastAsia="Arial" w:hAnsi="Arial"/>
          <w:sz w:val="20"/>
          <w:szCs w:val="20"/>
          <w:color w:val="auto"/>
        </w:rPr>
        <w:t xml:space="preserve"> to the Optionee. </w:t>
      </w:r>
      <w:r>
        <w:rPr>
          <w:rFonts w:ascii="Arial" w:cs="Arial" w:eastAsia="Arial" w:hAnsi="Arial"/>
          <w:sz w:val="20"/>
          <w:szCs w:val="20"/>
          <w:b w:val="1"/>
          <w:bCs w:val="1"/>
          <w:i w:val="1"/>
          <w:iCs w:val="1"/>
          <w:color w:val="auto"/>
        </w:rPr>
        <w:t>NOTIFICATIONS</w:t>
      </w:r>
    </w:p>
    <w:p>
      <w:pPr>
        <w:spacing w:after="0" w:line="1" w:lineRule="exact"/>
        <w:rPr>
          <w:sz w:val="20"/>
          <w:szCs w:val="20"/>
          <w:color w:val="auto"/>
        </w:rPr>
      </w:pPr>
    </w:p>
    <w:p>
      <w:pPr>
        <w:ind w:right="40"/>
        <w:spacing w:after="0" w:line="214"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Options is considered a private offering in Peru; therefore, it is not subject to registration.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Arial" w:cs="Arial" w:eastAsia="Arial" w:hAnsi="Arial"/>
          <w:sz w:val="20"/>
          <w:szCs w:val="20"/>
          <w:u w:val="single" w:color="auto"/>
          <w:color w:val="auto"/>
        </w:rPr>
        <w:t>www.sec.gov</w:t>
      </w:r>
      <w:r>
        <w:rPr>
          <w:rFonts w:ascii="Arial" w:cs="Arial" w:eastAsia="Arial" w:hAnsi="Arial"/>
          <w:sz w:val="20"/>
          <w:szCs w:val="20"/>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regulatory requirements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700"/>
        <w:spacing w:after="0" w:line="276"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Optionee hereby expressly declares that he or she has full knowledge of the English language and has read,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and fully accepted and agreed with the terms and conditions established in the Plan and the Agreement.</w:t>
      </w:r>
    </w:p>
    <w:p>
      <w:pPr>
        <w:spacing w:after="0" w:line="124" w:lineRule="exact"/>
        <w:rPr>
          <w:sz w:val="20"/>
          <w:szCs w:val="20"/>
          <w:color w:val="auto"/>
        </w:rPr>
      </w:pPr>
    </w:p>
    <w:p>
      <w:pPr>
        <w:spacing w:after="0" w:line="218"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acquires shares of Common Stock under the Plan and does not hold the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with a Portuguese financial intermediary, he or she may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1405" w:right="359" w:bottom="1440" w:gutter="0" w:footer="0" w:header="0"/>
        </w:sectPr>
      </w:pPr>
    </w:p>
    <w:bookmarkStart w:id="94" w:name="page95"/>
    <w:bookmarkEnd w:id="94"/>
    <w:p>
      <w:pPr>
        <w:ind w:right="160"/>
        <w:spacing w:after="0" w:line="229" w:lineRule="auto"/>
        <w:rPr>
          <w:sz w:val="20"/>
          <w:szCs w:val="20"/>
          <w:color w:val="auto"/>
        </w:rPr>
      </w:pPr>
      <w:r>
        <w:rPr>
          <w:rFonts w:ascii="Arial" w:cs="Arial" w:eastAsia="Arial" w:hAnsi="Arial"/>
          <w:sz w:val="20"/>
          <w:szCs w:val="20"/>
          <w:color w:val="auto"/>
        </w:rPr>
        <w:t>to file a report with the Portuguese Central Bank. If the shares of Common Stock are held by a Portuguese financial intermediary, it will file the report for the Optionee.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Agreement, the Plan and all other materials that the Optionee may receive concerning the grant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the Optionee’s participation in the Plan do not constitute advertising or an offering of securities in Russia. The Common Stock to be issued upon exercise of the Option have not and will not be registered in Russia and, therefore, the Common Stock described in any Plan documents may not be offered or placed in public circulation in Russia. In no event will Common Stock to be issued upon exercise of the Option be delivered to the Optionee in Russia. All Common Stock acquired under the Plan will be maintained on the Optionee’s behalf outside of Russia. The Optionee will not be permitted to sell Common Stock directly to a Russian legal entity or resident.</w:t>
      </w:r>
    </w:p>
    <w:p>
      <w:pPr>
        <w:spacing w:after="0" w:line="149" w:lineRule="exact"/>
        <w:rPr>
          <w:sz w:val="20"/>
          <w:szCs w:val="20"/>
          <w:color w:val="auto"/>
        </w:rPr>
      </w:pPr>
    </w:p>
    <w:p>
      <w:pPr>
        <w:ind w:right="60"/>
        <w:spacing w:after="0" w:line="222" w:lineRule="auto"/>
        <w:rPr>
          <w:sz w:val="20"/>
          <w:szCs w:val="20"/>
          <w:color w:val="auto"/>
        </w:rPr>
      </w:pPr>
      <w:r>
        <w:rPr>
          <w:rFonts w:ascii="Arial" w:cs="Arial" w:eastAsia="Arial" w:hAnsi="Arial"/>
          <w:sz w:val="19"/>
          <w:szCs w:val="19"/>
          <w:b w:val="1"/>
          <w:bCs w:val="1"/>
          <w:color w:val="auto"/>
        </w:rPr>
        <w:t>Cashless Exercise Provision</w:t>
      </w:r>
      <w:r>
        <w:rPr>
          <w:rFonts w:ascii="Arial" w:cs="Arial" w:eastAsia="Arial" w:hAnsi="Arial"/>
          <w:sz w:val="19"/>
          <w:szCs w:val="19"/>
          <w:color w:val="auto"/>
        </w:rPr>
        <w:t>. Notwithstanding anything to the contrary in the Agreement, depending on the development of local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13 of the Agreement:</w:t>
      </w:r>
    </w:p>
    <w:p>
      <w:pPr>
        <w:spacing w:after="0" w:line="181" w:lineRule="exact"/>
        <w:rPr>
          <w:sz w:val="20"/>
          <w:szCs w:val="20"/>
          <w:color w:val="auto"/>
        </w:rPr>
      </w:pPr>
    </w:p>
    <w:p>
      <w:pPr>
        <w:ind w:right="40"/>
        <w:spacing w:after="0" w:line="218" w:lineRule="auto"/>
        <w:rPr>
          <w:sz w:val="20"/>
          <w:szCs w:val="20"/>
          <w:color w:val="auto"/>
        </w:rPr>
      </w:pPr>
      <w:r>
        <w:rPr>
          <w:rFonts w:ascii="Arial" w:cs="Arial" w:eastAsia="Arial" w:hAnsi="Arial"/>
          <w:sz w:val="19"/>
          <w:szCs w:val="19"/>
          <w:color w:val="auto"/>
        </w:rPr>
        <w:t>The Optionee understands and agrees that he or she must complete and return a Consent to Processing of Personal Data (the “</w:t>
      </w:r>
      <w:r>
        <w:rPr>
          <w:rFonts w:ascii="Arial" w:cs="Arial" w:eastAsia="Arial" w:hAnsi="Arial"/>
          <w:sz w:val="19"/>
          <w:szCs w:val="19"/>
          <w:u w:val="single" w:color="auto"/>
          <w:color w:val="auto"/>
        </w:rPr>
        <w:t>Consent</w:t>
      </w:r>
      <w:r>
        <w:rPr>
          <w:rFonts w:ascii="Arial" w:cs="Arial" w:eastAsia="Arial" w:hAnsi="Arial"/>
          <w:sz w:val="19"/>
          <w:szCs w:val="19"/>
          <w:color w:val="auto"/>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0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may be required to repatriate certain cash amounts received with respect to the Option to</w:t>
      </w:r>
      <w:r>
        <w:rPr>
          <w:rFonts w:ascii="Arial" w:cs="Arial" w:eastAsia="Arial" w:hAnsi="Arial"/>
          <w:sz w:val="20"/>
          <w:szCs w:val="20"/>
          <w:b w:val="1"/>
          <w:bCs w:val="1"/>
          <w:color w:val="auto"/>
        </w:rPr>
        <w:t xml:space="preserve"> </w:t>
      </w:r>
      <w:r>
        <w:rPr>
          <w:rFonts w:ascii="Arial" w:cs="Arial" w:eastAsia="Arial" w:hAnsi="Arial"/>
          <w:sz w:val="20"/>
          <w:szCs w:val="20"/>
          <w:color w:val="auto"/>
        </w:rPr>
        <w:t>Russia as soon as the Optionee intends to use those cash amounts for any purpose, including reinvestment. If the repatriation requirement applies, such funds must initially be credited to the Optionee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405" w:right="339" w:bottom="1440" w:gutter="0" w:footer="0" w:header="0"/>
        </w:sectPr>
      </w:pPr>
    </w:p>
    <w:bookmarkStart w:id="95" w:name="page96"/>
    <w:bookmarkEnd w:id="95"/>
    <w:p>
      <w:pPr>
        <w:ind w:right="40"/>
        <w:spacing w:after="0" w:line="218" w:lineRule="auto"/>
        <w:rPr>
          <w:sz w:val="20"/>
          <w:szCs w:val="20"/>
          <w:color w:val="auto"/>
        </w:rPr>
      </w:pPr>
      <w:r>
        <w:rPr>
          <w:rFonts w:ascii="Arial" w:cs="Arial" w:eastAsia="Arial" w:hAnsi="Arial"/>
          <w:sz w:val="20"/>
          <w:szCs w:val="20"/>
          <w:color w:val="auto"/>
        </w:rPr>
        <w:t>account that is considered by the CBR to be a foreign brokerage account. Statutory exceptions to the repatriation requirement also may apply. The Optionee should contact their personal advisor to ensure compliance with the applicable exchange control requirements prior to exercising the Option and/or selling Common Stock.</w:t>
      </w:r>
    </w:p>
    <w:p>
      <w:pPr>
        <w:spacing w:after="0" w:line="150" w:lineRule="exact"/>
        <w:rPr>
          <w:sz w:val="20"/>
          <w:szCs w:val="20"/>
          <w:color w:val="auto"/>
        </w:rPr>
      </w:pPr>
    </w:p>
    <w:p>
      <w:pPr>
        <w:ind w:right="120"/>
        <w:spacing w:after="0" w:line="249"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the Optionee continues to hold shares of Common Stock acquired at exercise of the Option after an involuntary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the Optionee’s employment, the Optionee will not be eligible to receive unemployment benefits in Russia.</w:t>
      </w:r>
    </w:p>
    <w:p>
      <w:pPr>
        <w:spacing w:after="0" w:line="141"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Russian residents are required to report the opening, closing or change of details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 (including Common Stock) transactions in offshore accounts. The Optionee should consult with their personal legal advisor to determine the applicability of these reporting requirements to any brokerage account opened in connection with participation in the Plan.</w:t>
      </w:r>
    </w:p>
    <w:p>
      <w:pPr>
        <w:spacing w:after="0" w:line="149" w:lineRule="exact"/>
        <w:rPr>
          <w:sz w:val="20"/>
          <w:szCs w:val="20"/>
          <w:color w:val="auto"/>
        </w:rPr>
      </w:pPr>
    </w:p>
    <w:p>
      <w:pPr>
        <w:ind w:right="80"/>
        <w:spacing w:after="0" w:line="214"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Optionee should inform the Company if the Optionee is covered by these laws because the Optionee should not hold shares of Common Stock acquired under the Plan.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Pursuant to the Law on Foreign Exchange Transactions, the Optionee is permitted to acquire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under the Plan and hold the shares and any proceeds from the sale of shares of Common Stock in a U.S. brokerage account or</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40"/>
        <w:spacing w:after="0" w:line="214" w:lineRule="auto"/>
        <w:rPr>
          <w:sz w:val="20"/>
          <w:szCs w:val="20"/>
          <w:color w:val="auto"/>
        </w:rPr>
      </w:pPr>
      <w:r>
        <w:rPr>
          <w:rFonts w:ascii="Arial" w:cs="Arial" w:eastAsia="Arial" w:hAnsi="Arial"/>
          <w:sz w:val="20"/>
          <w:szCs w:val="20"/>
          <w:b w:val="1"/>
          <w:bCs w:val="1"/>
          <w:color w:val="auto"/>
        </w:rPr>
        <w:t xml:space="preserve">Sale Restriction. </w:t>
      </w:r>
      <w:r>
        <w:rPr>
          <w:rFonts w:ascii="Arial" w:cs="Arial" w:eastAsia="Arial" w:hAnsi="Arial"/>
          <w:sz w:val="20"/>
          <w:szCs w:val="20"/>
          <w:color w:val="auto"/>
        </w:rPr>
        <w:t>The Optionee agrees that any shares of Common Stock acquired pursuant to the Option will not be offered for sale in</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60"/>
        <w:spacing w:after="0" w:line="220"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the Option is being made pursuant to the “Qualifying Person” exemption under section 273(1)(f)</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SFA and is not made to the Optionee with a view to the Option being subsequently offered for sale to any other party. The Plan has not been lodged or registered as a prospectus with the Monetary Authority of Singapore.</w:t>
      </w:r>
    </w:p>
    <w:p>
      <w:pPr>
        <w:spacing w:after="0" w:line="151"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The directors, associate directors and shadow directors of a Singapore subsidiary or affiliate are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Singapore Companies Act. The directors, associate directors and shadow directors must notify the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405" w:right="339" w:bottom="1440" w:gutter="0" w:footer="0" w:header="0"/>
        </w:sectPr>
      </w:pPr>
    </w:p>
    <w:bookmarkStart w:id="96" w:name="page97"/>
    <w:bookmarkEnd w:id="96"/>
    <w:p>
      <w:pPr>
        <w:ind w:right="80"/>
        <w:spacing w:after="0" w:line="221" w:lineRule="auto"/>
        <w:rPr>
          <w:sz w:val="20"/>
          <w:szCs w:val="20"/>
          <w:color w:val="auto"/>
        </w:rPr>
      </w:pPr>
      <w:r>
        <w:rPr>
          <w:rFonts w:ascii="Arial" w:cs="Arial" w:eastAsia="Arial" w:hAnsi="Arial"/>
          <w:sz w:val="19"/>
          <w:szCs w:val="19"/>
          <w:color w:val="auto"/>
        </w:rPr>
        <w:t>subsidiary or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Options, shares of Common Stock, etc.) in the Company or any related companies within two business days of (i) its acquisition or disposal, (ii) any change in a previously disclosed interest (</w:t>
      </w:r>
      <w:r>
        <w:rPr>
          <w:rFonts w:ascii="Arial" w:cs="Arial" w:eastAsia="Arial" w:hAnsi="Arial"/>
          <w:sz w:val="19"/>
          <w:szCs w:val="19"/>
          <w:i w:val="1"/>
          <w:iCs w:val="1"/>
          <w:color w:val="auto"/>
        </w:rPr>
        <w:t>e.g.,</w:t>
      </w:r>
      <w:r>
        <w:rPr>
          <w:rFonts w:ascii="Arial" w:cs="Arial" w:eastAsia="Arial" w:hAnsi="Arial"/>
          <w:sz w:val="19"/>
          <w:szCs w:val="19"/>
          <w:color w:val="auto"/>
        </w:rPr>
        <w:t xml:space="preserve"> when the shares of Common Stock are sold), or (iii) becoming a director, associate director or shadow director. If the Optionee is the chief executive officer (“CEO”) of a Singapore subsidiary or affiliate and the above notification requirements are determined to apply to the CEO of a Singapore subsidiary or affiliate, the above notification requirements also may apply to the Optionee.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Optionee’s brokerage account with the Company’s designated broker).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Optionee’s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on the Company's public site or intranet site, as applicable, as listed below:</w:t>
      </w:r>
    </w:p>
    <w:p>
      <w:pPr>
        <w:spacing w:after="0" w:line="155" w:lineRule="exact"/>
        <w:rPr>
          <w:sz w:val="20"/>
          <w:szCs w:val="20"/>
          <w:color w:val="auto"/>
        </w:rPr>
      </w:pPr>
    </w:p>
    <w:p>
      <w:pPr>
        <w:ind w:left="660" w:right="980" w:hanging="328"/>
        <w:spacing w:after="0" w:line="229"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The Company’s most recent Annual Report (Form 10-K): from the investor relations section of the Company's website at </w:t>
      </w:r>
      <w:r>
        <w:rPr>
          <w:rFonts w:ascii="Arial" w:cs="Arial" w:eastAsia="Arial" w:hAnsi="Arial"/>
          <w:sz w:val="20"/>
          <w:szCs w:val="20"/>
          <w:u w:val="single" w:color="auto"/>
          <w:color w:val="auto"/>
        </w:rPr>
        <w:t>http://www.mondelezinternational.com/investors</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660" w:right="1280" w:hanging="328"/>
        <w:spacing w:after="0" w:line="229" w:lineRule="auto"/>
        <w:tabs>
          <w:tab w:leader="none" w:pos="6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55" w:lineRule="exact"/>
        <w:rPr>
          <w:sz w:val="20"/>
          <w:szCs w:val="20"/>
          <w:color w:val="auto"/>
        </w:rPr>
      </w:pPr>
    </w:p>
    <w:p>
      <w:pPr>
        <w:ind w:right="60"/>
        <w:spacing w:after="0" w:line="218" w:lineRule="auto"/>
        <w:rPr>
          <w:sz w:val="20"/>
          <w:szCs w:val="20"/>
          <w:color w:val="auto"/>
        </w:rPr>
      </w:pPr>
      <w:r>
        <w:rPr>
          <w:rFonts w:ascii="Arial" w:cs="Arial" w:eastAsia="Arial" w:hAnsi="Arial"/>
          <w:sz w:val="20"/>
          <w:szCs w:val="20"/>
          <w:color w:val="auto"/>
        </w:rPr>
        <w:t>The Optionee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181"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By accepting the Option, the Optionee understands and acknowledges that he or she is required to notify the Employer of the amount of any gain realized upon exercise of the Option.</w:t>
      </w:r>
    </w:p>
    <w:p>
      <w:pPr>
        <w:spacing w:after="0" w:line="149" w:lineRule="exact"/>
        <w:rPr>
          <w:sz w:val="20"/>
          <w:szCs w:val="20"/>
          <w:color w:val="auto"/>
        </w:rPr>
      </w:pPr>
    </w:p>
    <w:p>
      <w:pPr>
        <w:ind w:right="20"/>
        <w:spacing w:after="0" w:line="22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Optionee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405" w:right="339" w:bottom="1440" w:gutter="0" w:footer="0" w:header="0"/>
        </w:sectPr>
      </w:pPr>
    </w:p>
    <w:bookmarkStart w:id="97" w:name="page98"/>
    <w:bookmarkEnd w:id="97"/>
    <w:p>
      <w:pPr>
        <w:ind w:right="20"/>
        <w:spacing w:after="0" w:line="211" w:lineRule="auto"/>
        <w:rPr>
          <w:sz w:val="20"/>
          <w:szCs w:val="20"/>
          <w:color w:val="auto"/>
        </w:rPr>
      </w:pPr>
      <w:r>
        <w:rPr>
          <w:rFonts w:ascii="Arial" w:cs="Arial" w:eastAsia="Arial" w:hAnsi="Arial"/>
          <w:sz w:val="20"/>
          <w:szCs w:val="20"/>
          <w:b w:val="1"/>
          <w:bCs w:val="1"/>
          <w:color w:val="auto"/>
        </w:rPr>
        <w:t xml:space="preserve">Tax Clearance Certificate for Cash Exercises. </w:t>
      </w:r>
      <w:r>
        <w:rPr>
          <w:rFonts w:ascii="Arial" w:cs="Arial" w:eastAsia="Arial" w:hAnsi="Arial"/>
          <w:sz w:val="20"/>
          <w:szCs w:val="20"/>
          <w:color w:val="auto"/>
        </w:rPr>
        <w:t>If the Optionee exercises the Option by a cash purchase exercise, the Optionee is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Arial" w:cs="Arial" w:eastAsia="Arial" w:hAnsi="Arial"/>
          <w:sz w:val="20"/>
          <w:szCs w:val="20"/>
          <w:u w:val="single" w:color="auto"/>
          <w:color w:val="auto"/>
        </w:rPr>
        <w:t>SARS</w:t>
      </w:r>
      <w:r>
        <w:rPr>
          <w:rFonts w:ascii="Arial" w:cs="Arial" w:eastAsia="Arial" w:hAnsi="Arial"/>
          <w:sz w:val="20"/>
          <w:szCs w:val="20"/>
          <w:color w:val="auto"/>
        </w:rPr>
        <w:t>”). The Optionee must renew this Tax Clearance Certificate each twelve (12) months or in such other period as may be required by the SARS.</w:t>
      </w:r>
    </w:p>
    <w:p>
      <w:pPr>
        <w:spacing w:after="0" w:line="156"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If the Optionee exercises the Option by a cashless exercise whereby no funds are remitted offshore for the purchase of shares, he or she is not required to obtain a Tax Clearance Certificate.</w:t>
      </w:r>
    </w:p>
    <w:p>
      <w:pPr>
        <w:spacing w:after="0" w:line="149"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Under current South African exchange control policy, if the Optionee is a South African resident, he or she</w:t>
      </w:r>
      <w:r>
        <w:rPr>
          <w:rFonts w:ascii="Arial" w:cs="Arial" w:eastAsia="Arial" w:hAnsi="Arial"/>
          <w:sz w:val="19"/>
          <w:szCs w:val="19"/>
          <w:b w:val="1"/>
          <w:bCs w:val="1"/>
          <w:color w:val="auto"/>
        </w:rPr>
        <w:t xml:space="preserve"> </w:t>
      </w:r>
      <w:r>
        <w:rPr>
          <w:rFonts w:ascii="Arial" w:cs="Arial" w:eastAsia="Arial" w:hAnsi="Arial"/>
          <w:sz w:val="19"/>
          <w:szCs w:val="19"/>
          <w:color w:val="auto"/>
        </w:rPr>
        <w:t>may invest a 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2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Optionee remits funds out of South Korea to pay the Grant Price for Options, the remittance of funds</w:t>
      </w:r>
      <w:r>
        <w:rPr>
          <w:rFonts w:ascii="Arial" w:cs="Arial" w:eastAsia="Arial" w:hAnsi="Arial"/>
          <w:sz w:val="19"/>
          <w:szCs w:val="19"/>
          <w:b w:val="1"/>
          <w:bCs w:val="1"/>
          <w:color w:val="auto"/>
        </w:rPr>
        <w:t xml:space="preserve"> </w:t>
      </w:r>
      <w:r>
        <w:rPr>
          <w:rFonts w:ascii="Arial" w:cs="Arial" w:eastAsia="Arial" w:hAnsi="Arial"/>
          <w:sz w:val="19"/>
          <w:szCs w:val="19"/>
          <w:color w:val="auto"/>
        </w:rPr>
        <w:t>must be confirmed by a foreign exchange bank in South Korea. This 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12 of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Option, the Optionee consents to participation in the Plan and acknowledges that he or she has received a copy of the Plan.</w:t>
      </w:r>
    </w:p>
    <w:p>
      <w:pPr>
        <w:spacing w:after="0" w:line="198" w:lineRule="exact"/>
        <w:rPr>
          <w:sz w:val="20"/>
          <w:szCs w:val="20"/>
          <w:color w:val="auto"/>
        </w:rPr>
      </w:pPr>
    </w:p>
    <w:p>
      <w:pPr>
        <w:jc w:val="both"/>
        <w:ind w:right="100"/>
        <w:spacing w:after="0" w:line="230" w:lineRule="auto"/>
        <w:rPr>
          <w:sz w:val="20"/>
          <w:szCs w:val="20"/>
          <w:color w:val="auto"/>
        </w:rPr>
      </w:pPr>
      <w:r>
        <w:rPr>
          <w:rFonts w:ascii="Arial" w:cs="Arial" w:eastAsia="Arial" w:hAnsi="Arial"/>
          <w:sz w:val="19"/>
          <w:szCs w:val="19"/>
          <w:color w:val="auto"/>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1399" w:right="359" w:bottom="1440" w:gutter="0" w:footer="0" w:header="0"/>
        </w:sectPr>
      </w:pPr>
    </w:p>
    <w:bookmarkStart w:id="98" w:name="page99"/>
    <w:bookmarkEnd w:id="98"/>
    <w:p>
      <w:pPr>
        <w:ind w:right="200"/>
        <w:spacing w:after="0" w:line="216" w:lineRule="auto"/>
        <w:rPr>
          <w:sz w:val="20"/>
          <w:szCs w:val="20"/>
          <w:color w:val="auto"/>
        </w:rPr>
      </w:pPr>
      <w:r>
        <w:rPr>
          <w:rFonts w:ascii="Arial" w:cs="Arial" w:eastAsia="Arial" w:hAnsi="Arial"/>
          <w:sz w:val="19"/>
          <w:szCs w:val="19"/>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55" w:lineRule="exact"/>
        <w:rPr>
          <w:sz w:val="20"/>
          <w:szCs w:val="20"/>
          <w:color w:val="auto"/>
        </w:rPr>
      </w:pPr>
    </w:p>
    <w:p>
      <w:pPr>
        <w:spacing w:after="0" w:line="213" w:lineRule="auto"/>
        <w:rPr>
          <w:sz w:val="20"/>
          <w:szCs w:val="20"/>
          <w:color w:val="auto"/>
        </w:rPr>
      </w:pPr>
      <w:r>
        <w:rPr>
          <w:rFonts w:ascii="Arial" w:cs="Arial" w:eastAsia="Arial" w:hAnsi="Arial"/>
          <w:sz w:val="19"/>
          <w:szCs w:val="19"/>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40"/>
        <w:spacing w:after="0" w:line="220"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51" w:lineRule="exact"/>
        <w:rPr>
          <w:sz w:val="20"/>
          <w:szCs w:val="20"/>
          <w:color w:val="auto"/>
        </w:rPr>
      </w:pPr>
    </w:p>
    <w:p>
      <w:pPr>
        <w:ind w:right="100"/>
        <w:spacing w:after="0" w:line="21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Optionee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Spanish </w:t>
      </w:r>
      <w:r>
        <w:rPr>
          <w:rFonts w:ascii="Arial" w:cs="Arial" w:eastAsia="Arial" w:hAnsi="Arial"/>
          <w:sz w:val="19"/>
          <w:szCs w:val="19"/>
          <w:i w:val="1"/>
          <w:iCs w:val="1"/>
          <w:color w:val="auto"/>
        </w:rPr>
        <w:t>Dirección General de Comercio e Inversiones</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Optionee holds 10% or more of the share capital of the Company), the declaration must be filed within one month of the acquisition or disposition, as applicable.</w:t>
      </w:r>
    </w:p>
    <w:p>
      <w:pPr>
        <w:spacing w:after="0" w:line="160"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addition, the Optionee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spacing w:after="0" w:line="152" w:lineRule="exact"/>
        <w:rPr>
          <w:sz w:val="20"/>
          <w:szCs w:val="20"/>
          <w:color w:val="auto"/>
        </w:rPr>
      </w:pPr>
    </w:p>
    <w:p>
      <w:pPr>
        <w:jc w:val="both"/>
        <w:ind w:right="220"/>
        <w:spacing w:after="0" w:line="258"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Optionee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w:t>
      </w:r>
    </w:p>
    <w:p>
      <w:pPr>
        <w:ind w:right="20"/>
        <w:spacing w:after="0" w:line="329" w:lineRule="auto"/>
        <w:rPr>
          <w:sz w:val="20"/>
          <w:szCs w:val="20"/>
          <w:color w:val="auto"/>
        </w:rPr>
      </w:pPr>
      <w:r>
        <w:rPr>
          <w:rFonts w:ascii="Arial" w:cs="Arial" w:eastAsia="Arial" w:hAnsi="Arial"/>
          <w:sz w:val="16"/>
          <w:szCs w:val="16"/>
          <w:color w:val="auto"/>
        </w:rPr>
        <w:t>previously-reported rights or assets increases by more than €20,000, or if ownership of the asset is transferred or relinquished during the year. If the value of such rights and/or assets does not exceed €50,000, a summarized form of declaration may be presented. The reporting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40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be completed by the March 31 each year. The Optionee should consult his or her personal tax advisor for details regarding this requirement.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181" w:lineRule="exact"/>
        <w:rPr>
          <w:sz w:val="20"/>
          <w:szCs w:val="20"/>
          <w:color w:val="auto"/>
        </w:rPr>
      </w:pPr>
    </w:p>
    <w:p>
      <w:pPr>
        <w:ind w:right="260"/>
        <w:spacing w:after="0" w:line="224" w:lineRule="auto"/>
        <w:rPr>
          <w:sz w:val="20"/>
          <w:szCs w:val="20"/>
          <w:color w:val="auto"/>
        </w:rPr>
      </w:pPr>
      <w:r>
        <w:rPr>
          <w:rFonts w:ascii="Arial" w:cs="Arial" w:eastAsia="Arial" w:hAnsi="Arial"/>
          <w:sz w:val="19"/>
          <w:szCs w:val="19"/>
          <w:color w:val="auto"/>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Neither this document nor any other materials relating to the Option (i) constitutes a prospectus according to</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35 et seq. of the Swiss Federal Act on Financial Services (“FinSA”), (ii) may be publicly distributed or otherwise made publicly</w:t>
      </w:r>
    </w:p>
    <w:p>
      <w:pPr>
        <w:spacing w:after="0" w:line="1" w:lineRule="exact"/>
        <w:rPr>
          <w:sz w:val="20"/>
          <w:szCs w:val="20"/>
          <w:color w:val="auto"/>
        </w:rPr>
      </w:pPr>
    </w:p>
    <w:p>
      <w:pPr>
        <w:ind w:right="380"/>
        <w:spacing w:after="0" w:line="213" w:lineRule="auto"/>
        <w:rPr>
          <w:sz w:val="20"/>
          <w:szCs w:val="20"/>
          <w:color w:val="auto"/>
        </w:rPr>
      </w:pPr>
      <w:r>
        <w:rPr>
          <w:rFonts w:ascii="Arial" w:cs="Arial" w:eastAsia="Arial" w:hAnsi="Arial"/>
          <w:sz w:val="20"/>
          <w:szCs w:val="20"/>
          <w:color w:val="auto"/>
        </w:rPr>
        <w:t>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color w:val="auto"/>
        </w:rPr>
        <w:t xml:space="preserve">Data Privacy Consent. </w:t>
      </w:r>
      <w:r>
        <w:rPr>
          <w:rFonts w:ascii="Arial" w:cs="Arial" w:eastAsia="Arial" w:hAnsi="Arial"/>
          <w:sz w:val="16"/>
          <w:szCs w:val="16"/>
          <w:color w:val="auto"/>
        </w:rPr>
        <w:t>The Optionee hereby acknowledges that he or she has read and understood the terms regarding collection,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Option and the shares of Common Stock to be issued pursuant to the Plan are available only to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Mondelēz Group. The grant of the Option does not constitute a public offer of securities.</w:t>
      </w:r>
    </w:p>
    <w:p>
      <w:pPr>
        <w:spacing w:after="0" w:line="149" w:lineRule="exact"/>
        <w:rPr>
          <w:sz w:val="20"/>
          <w:szCs w:val="20"/>
          <w:color w:val="auto"/>
        </w:rPr>
      </w:pPr>
    </w:p>
    <w:p>
      <w:pPr>
        <w:ind w:right="40"/>
        <w:spacing w:after="0" w:line="211"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may acquire and remit foreign currency (including the Grant Price, proceeds from the sale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405"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40"/>
        <w:spacing w:after="0" w:line="208"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Thailand,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0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proceeds from the sale of shares of Common Stock are equal to or greater than US$1,000,000 in a</w:t>
      </w:r>
      <w:r>
        <w:rPr>
          <w:rFonts w:ascii="Arial" w:cs="Arial" w:eastAsia="Arial" w:hAnsi="Arial"/>
          <w:sz w:val="20"/>
          <w:szCs w:val="20"/>
          <w:b w:val="1"/>
          <w:bCs w:val="1"/>
          <w:color w:val="auto"/>
        </w:rPr>
        <w:t xml:space="preserve"> </w:t>
      </w:r>
      <w:r>
        <w:rPr>
          <w:rFonts w:ascii="Arial" w:cs="Arial" w:eastAsia="Arial" w:hAnsi="Arial"/>
          <w:sz w:val="20"/>
          <w:szCs w:val="20"/>
          <w:color w:val="auto"/>
        </w:rPr>
        <w:t>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identification information and purposes of the transaction) to the receiving bank. If the Optionee fails to comply with these obligations, the Optionee may be subject to penalties assessed by the Bank of Thailand.</w:t>
      </w:r>
    </w:p>
    <w:p>
      <w:pPr>
        <w:spacing w:after="0" w:line="160" w:lineRule="exact"/>
        <w:rPr>
          <w:sz w:val="20"/>
          <w:szCs w:val="20"/>
          <w:color w:val="auto"/>
        </w:rPr>
      </w:pPr>
    </w:p>
    <w:p>
      <w:pPr>
        <w:jc w:val="both"/>
        <w:ind w:right="360"/>
        <w:spacing w:after="0" w:line="269" w:lineRule="auto"/>
        <w:rPr>
          <w:sz w:val="20"/>
          <w:szCs w:val="20"/>
          <w:color w:val="auto"/>
        </w:rPr>
      </w:pPr>
      <w:r>
        <w:rPr>
          <w:rFonts w:ascii="Arial" w:cs="Arial" w:eastAsia="Arial" w:hAnsi="Arial"/>
          <w:sz w:val="18"/>
          <w:szCs w:val="18"/>
          <w:color w:val="auto"/>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Optionee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Optionee may be required to engage a Turkish financial intermediary to assist with the cash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60"/>
        <w:spacing w:after="0" w:line="214"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Optionees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158"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05" w:right="339" w:bottom="1440" w:gutter="0" w:footer="0" w:header="0"/>
        </w:sectPr>
      </w:pPr>
    </w:p>
    <w:bookmarkStart w:id="101" w:name="page102"/>
    <w:bookmarkEnd w:id="101"/>
    <w:p>
      <w:pPr>
        <w:spacing w:after="0"/>
        <w:rPr>
          <w:sz w:val="20"/>
          <w:szCs w:val="20"/>
          <w:color w:val="auto"/>
        </w:rPr>
      </w:pPr>
      <w:r>
        <w:rPr>
          <w:rFonts w:ascii="Arial" w:cs="Arial" w:eastAsia="Arial" w:hAnsi="Arial"/>
          <w:sz w:val="20"/>
          <w:szCs w:val="20"/>
          <w:color w:val="auto"/>
        </w:rPr>
        <w:t>Agreement nor taken steps to verify the information set out therein, and have no responsibility for such documents.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181" w:lineRule="exact"/>
        <w:rPr>
          <w:sz w:val="20"/>
          <w:szCs w:val="20"/>
          <w:color w:val="auto"/>
        </w:rPr>
      </w:pPr>
    </w:p>
    <w:p>
      <w:pPr>
        <w:ind w:right="80"/>
        <w:spacing w:after="0" w:line="21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181"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Without limitation to paragraph 4 of the Agreement, the Optionee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spacing w:after="0" w:line="156" w:lineRule="exact"/>
        <w:rPr>
          <w:sz w:val="20"/>
          <w:szCs w:val="20"/>
          <w:color w:val="auto"/>
        </w:rPr>
      </w:pPr>
    </w:p>
    <w:p>
      <w:pPr>
        <w:ind w:right="40"/>
        <w:spacing w:after="0" w:line="216" w:lineRule="auto"/>
        <w:rPr>
          <w:sz w:val="20"/>
          <w:szCs w:val="20"/>
          <w:color w:val="auto"/>
        </w:rPr>
      </w:pPr>
      <w:r>
        <w:rPr>
          <w:rFonts w:ascii="Arial" w:cs="Arial" w:eastAsia="Arial" w:hAnsi="Arial"/>
          <w:sz w:val="19"/>
          <w:szCs w:val="19"/>
          <w:color w:val="auto"/>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spacing w:after="0" w:line="155"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Information. </w:t>
      </w:r>
      <w:r>
        <w:rPr>
          <w:rFonts w:ascii="Arial" w:cs="Arial" w:eastAsia="Arial" w:hAnsi="Arial"/>
          <w:sz w:val="20"/>
          <w:szCs w:val="20"/>
          <w:color w:val="auto"/>
        </w:rPr>
        <w:t>The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an incentive stock option within the meaning of the Code.</w:t>
      </w:r>
    </w:p>
    <w:p>
      <w:pPr>
        <w:spacing w:after="0" w:line="175" w:lineRule="exact"/>
        <w:rPr>
          <w:sz w:val="20"/>
          <w:szCs w:val="20"/>
          <w:color w:val="auto"/>
        </w:rPr>
      </w:pPr>
    </w:p>
    <w:p>
      <w:pPr>
        <w:ind w:right="60"/>
        <w:spacing w:after="0" w:line="226" w:lineRule="auto"/>
        <w:rPr>
          <w:sz w:val="20"/>
          <w:szCs w:val="20"/>
          <w:color w:val="auto"/>
        </w:rPr>
      </w:pPr>
      <w:r>
        <w:rPr>
          <w:rFonts w:ascii="Arial" w:cs="Arial" w:eastAsia="Arial" w:hAnsi="Arial"/>
          <w:sz w:val="19"/>
          <w:szCs w:val="19"/>
          <w:b w:val="1"/>
          <w:bCs w:val="1"/>
          <w:color w:val="auto"/>
        </w:rPr>
        <w:t xml:space="preserve">Foreign Asset/Accounting Reporting Information. </w:t>
      </w:r>
      <w:r>
        <w:rPr>
          <w:rFonts w:ascii="Arial" w:cs="Arial" w:eastAsia="Arial" w:hAnsi="Arial"/>
          <w:sz w:val="19"/>
          <w:szCs w:val="19"/>
          <w:color w:val="auto"/>
        </w:rPr>
        <w:t>If the Optionee holds assets (</w:t>
      </w:r>
      <w:r>
        <w:rPr>
          <w:rFonts w:ascii="Arial" w:cs="Arial" w:eastAsia="Arial" w:hAnsi="Arial"/>
          <w:sz w:val="19"/>
          <w:szCs w:val="19"/>
          <w:i w:val="1"/>
          <w:iCs w:val="1"/>
          <w:color w:val="auto"/>
        </w:rPr>
        <w:t>i.e</w:t>
      </w:r>
      <w:r>
        <w:rPr>
          <w:rFonts w:ascii="Arial" w:cs="Arial" w:eastAsia="Arial" w:hAnsi="Arial"/>
          <w:sz w:val="19"/>
          <w:szCs w:val="19"/>
          <w:color w:val="auto"/>
        </w:rPr>
        <w:t>., Option or Common Stock) or other financial assets in</w:t>
      </w:r>
      <w:r>
        <w:rPr>
          <w:rFonts w:ascii="Arial" w:cs="Arial" w:eastAsia="Arial" w:hAnsi="Arial"/>
          <w:sz w:val="19"/>
          <w:szCs w:val="19"/>
          <w:b w:val="1"/>
          <w:bCs w:val="1"/>
          <w:color w:val="auto"/>
        </w:rPr>
        <w:t xml:space="preserve"> </w:t>
      </w:r>
      <w:r>
        <w:rPr>
          <w:rFonts w:ascii="Arial" w:cs="Arial" w:eastAsia="Arial" w:hAnsi="Arial"/>
          <w:sz w:val="19"/>
          <w:szCs w:val="19"/>
          <w:color w:val="auto"/>
        </w:rPr>
        <w:t>an account outside the United States 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 $10,000 threshold.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1405" w:right="35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jc w:val="both"/>
        <w:ind w:right="100"/>
        <w:spacing w:after="0" w:line="214"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Optionee understands that the Data will be collected by the Company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905 West Fulton Market, Suite 200, Chicago, Illinois 60607, U.S.A. and/or any financial institutions or brokers involved in the management and administration of the Plan. The Optionee further understands that any of these entities may store the Data for purposes of administering the Optionee's participation in the Plan.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b w:val="1"/>
          <w:bCs w:val="1"/>
          <w:color w:val="auto"/>
        </w:rPr>
        <w:t>Investment Representation</w:t>
      </w:r>
      <w:r>
        <w:rPr>
          <w:rFonts w:ascii="Arial" w:cs="Arial" w:eastAsia="Arial" w:hAnsi="Arial"/>
          <w:sz w:val="20"/>
          <w:szCs w:val="20"/>
          <w:color w:val="auto"/>
        </w:rPr>
        <w:t>. As a condition of the grant of the Option, the Optionee acknowledges and agrees that any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the Optionee may acquire upon exercise of the Option are acquired as and intended to be an investment rather than for the resale of the shares of Common Stock and conversion of such shares into foreign currency.</w:t>
      </w:r>
    </w:p>
    <w:p>
      <w:pPr>
        <w:spacing w:after="0" w:line="151"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exercise the Option or remit funds into Venezuela</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0"/>
        <w:spacing w:after="0" w:line="249"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40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10.5</w:t>
      </w:r>
    </w:p>
    <w:p>
      <w:pPr>
        <w:spacing w:after="0" w:line="364" w:lineRule="exact"/>
        <w:rPr>
          <w:sz w:val="20"/>
          <w:szCs w:val="20"/>
          <w:color w:val="auto"/>
        </w:rPr>
      </w:pPr>
    </w:p>
    <w:p>
      <w:pPr>
        <w:jc w:val="center"/>
        <w:spacing w:after="0" w:line="220"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(2022-2024 Performance Cycle)</w:t>
      </w:r>
    </w:p>
    <w:p>
      <w:pPr>
        <w:spacing w:after="0" w:line="181" w:lineRule="exact"/>
        <w:rPr>
          <w:sz w:val="20"/>
          <w:szCs w:val="20"/>
          <w:color w:val="auto"/>
        </w:rPr>
      </w:pPr>
    </w:p>
    <w:p>
      <w:pPr>
        <w:ind w:right="120" w:firstLine="396"/>
        <w:spacing w:after="0" w:line="227" w:lineRule="auto"/>
        <w:rPr>
          <w:sz w:val="20"/>
          <w:szCs w:val="20"/>
          <w:color w:val="auto"/>
        </w:rPr>
      </w:pPr>
      <w:r>
        <w:rPr>
          <w:rFonts w:ascii="Arial" w:cs="Arial" w:eastAsia="Arial" w:hAnsi="Arial"/>
          <w:sz w:val="18"/>
          <w:szCs w:val="18"/>
          <w:color w:val="auto"/>
        </w:rPr>
        <w:t>MONDELĒZ INTERNATIONAL, INC., a Virginia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the individual (the “</w:t>
      </w:r>
      <w:r>
        <w:rPr>
          <w:rFonts w:ascii="Arial" w:cs="Arial" w:eastAsia="Arial" w:hAnsi="Arial"/>
          <w:sz w:val="18"/>
          <w:szCs w:val="18"/>
          <w:u w:val="single" w:color="auto"/>
          <w:color w:val="auto"/>
        </w:rPr>
        <w:t>Participant</w:t>
      </w:r>
      <w:r>
        <w:rPr>
          <w:rFonts w:ascii="Arial" w:cs="Arial" w:eastAsia="Arial" w:hAnsi="Arial"/>
          <w:sz w:val="18"/>
          <w:szCs w:val="18"/>
          <w:color w:val="auto"/>
        </w:rPr>
        <w:t>”) named in the Long-Term Incentive Grant Notice (the “</w:t>
      </w:r>
      <w:r>
        <w:rPr>
          <w:rFonts w:ascii="Arial" w:cs="Arial" w:eastAsia="Arial" w:hAnsi="Arial"/>
          <w:sz w:val="18"/>
          <w:szCs w:val="18"/>
          <w:u w:val="single" w:color="auto"/>
          <w:color w:val="auto"/>
        </w:rPr>
        <w:t>Notice</w:t>
      </w:r>
      <w:r>
        <w:rPr>
          <w:rFonts w:ascii="Arial" w:cs="Arial" w:eastAsia="Arial" w:hAnsi="Arial"/>
          <w:sz w:val="18"/>
          <w:szCs w:val="18"/>
          <w:color w:val="auto"/>
        </w:rPr>
        <w:t>”) a Long-Term Incentive Grant (the “</w:t>
      </w:r>
      <w:r>
        <w:rPr>
          <w:rFonts w:ascii="Arial" w:cs="Arial" w:eastAsia="Arial" w:hAnsi="Arial"/>
          <w:sz w:val="18"/>
          <w:szCs w:val="18"/>
          <w:u w:val="single" w:color="auto"/>
          <w:color w:val="auto"/>
        </w:rPr>
        <w:t>LTI Grant</w:t>
      </w:r>
      <w:r>
        <w:rPr>
          <w:rFonts w:ascii="Arial" w:cs="Arial" w:eastAsia="Arial" w:hAnsi="Arial"/>
          <w:sz w:val="18"/>
          <w:szCs w:val="18"/>
          <w:color w:val="auto"/>
        </w:rPr>
        <w:t>”) with respect to the Performance Cycle and Performance Goals set forth in the Notice, subject to the terms and provisions of the Notice, this Global Long-Term Incentive Grant Agreement, including any country-specific appendix (this “</w:t>
      </w:r>
      <w:r>
        <w:rPr>
          <w:rFonts w:ascii="Arial" w:cs="Arial" w:eastAsia="Arial" w:hAnsi="Arial"/>
          <w:sz w:val="18"/>
          <w:szCs w:val="18"/>
          <w:u w:val="single" w:color="auto"/>
          <w:color w:val="auto"/>
        </w:rPr>
        <w:t>Agreement</w:t>
      </w:r>
      <w:r>
        <w:rPr>
          <w:rFonts w:ascii="Arial" w:cs="Arial" w:eastAsia="Arial" w:hAnsi="Arial"/>
          <w:sz w:val="18"/>
          <w:szCs w:val="18"/>
          <w:color w:val="auto"/>
        </w:rPr>
        <w:t>”) and the Mondelēz International, Inc. Amended and Restated 2005 Performance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LTI Grant is subject to the following terms and conditions (including the country-specific terms set forth in Appendix A to this</w:t>
      </w:r>
    </w:p>
    <w:p>
      <w:pPr>
        <w:spacing w:after="0"/>
        <w:rPr>
          <w:sz w:val="20"/>
          <w:szCs w:val="20"/>
          <w:color w:val="auto"/>
        </w:rPr>
      </w:pPr>
      <w:r>
        <w:rPr>
          <w:rFonts w:ascii="Arial" w:cs="Arial" w:eastAsia="Arial" w:hAnsi="Arial"/>
          <w:sz w:val="20"/>
          <w:szCs w:val="20"/>
          <w:color w:val="auto"/>
        </w:rPr>
        <w:t>Agreement):</w:t>
      </w:r>
    </w:p>
    <w:p>
      <w:pPr>
        <w:spacing w:after="0" w:line="153"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55" w:lineRule="exact"/>
        <w:rPr>
          <w:sz w:val="20"/>
          <w:szCs w:val="20"/>
          <w:color w:val="auto"/>
        </w:rPr>
      </w:pPr>
    </w:p>
    <w:p>
      <w:pPr>
        <w:ind w:right="680" w:firstLine="8"/>
        <w:spacing w:after="0" w:line="230" w:lineRule="auto"/>
        <w:tabs>
          <w:tab w:leader="none" w:pos="64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55" w:lineRule="exact"/>
        <w:rPr>
          <w:sz w:val="20"/>
          <w:szCs w:val="20"/>
          <w:color w:val="auto"/>
        </w:rPr>
      </w:pPr>
    </w:p>
    <w:p>
      <w:pPr>
        <w:ind w:right="240" w:firstLine="8"/>
        <w:spacing w:after="0" w:line="229" w:lineRule="auto"/>
        <w:tabs>
          <w:tab w:leader="none" w:pos="638"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“Affiliate” means any entity that directly or indirectly through one or more intermediaries controls or is controlled by the Company, in each case, as determined by the Committee.</w:t>
      </w:r>
    </w:p>
    <w:p>
      <w:pPr>
        <w:spacing w:after="0" w:line="155" w:lineRule="exact"/>
        <w:rPr>
          <w:rFonts w:ascii="Arial" w:cs="Arial" w:eastAsia="Arial" w:hAnsi="Arial"/>
          <w:sz w:val="20"/>
          <w:szCs w:val="20"/>
          <w:color w:val="auto"/>
        </w:rPr>
      </w:pPr>
    </w:p>
    <w:p>
      <w:pPr>
        <w:ind w:right="660" w:firstLine="8"/>
        <w:spacing w:after="0" w:line="229" w:lineRule="auto"/>
        <w:tabs>
          <w:tab w:leader="none" w:pos="63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“Disability” means permanent and total disability as determined under procedures established by the Company for purposes of the Plan.</w:t>
      </w:r>
    </w:p>
    <w:p>
      <w:pPr>
        <w:spacing w:after="0" w:line="155" w:lineRule="exact"/>
        <w:rPr>
          <w:rFonts w:ascii="Arial" w:cs="Arial" w:eastAsia="Arial" w:hAnsi="Arial"/>
          <w:sz w:val="20"/>
          <w:szCs w:val="20"/>
          <w:color w:val="auto"/>
        </w:rPr>
      </w:pPr>
    </w:p>
    <w:p>
      <w:pPr>
        <w:jc w:val="both"/>
        <w:ind w:right="480" w:firstLine="8"/>
        <w:spacing w:after="0" w:line="228" w:lineRule="auto"/>
        <w:tabs>
          <w:tab w:leader="none" w:pos="63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LTI Award Payout</w:t>
      </w:r>
      <w:r>
        <w:rPr>
          <w:rFonts w:ascii="Arial" w:cs="Arial" w:eastAsia="Arial" w:hAnsi="Arial"/>
          <w:sz w:val="18"/>
          <w:szCs w:val="18"/>
          <w:color w:val="auto"/>
        </w:rPr>
        <w:t>. “LTI Award Payout” means the number of shares of Common Stock (if the Award is settled in shares) or the amount (if the Award is settled in cash) in either case with the value determined as the product of (a) the LTI Grant Target multiplied by</w:t>
      </w:r>
    </w:p>
    <w:p>
      <w:pPr>
        <w:ind w:right="640" w:firstLine="8"/>
        <w:spacing w:after="0" w:line="224" w:lineRule="auto"/>
        <w:tabs>
          <w:tab w:leader="none" w:pos="2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Performance Goal Attainment Factor (subject to the Committee’s discretion specified in paragraph 4(c)), and, in the case of a Participant who terminates employment before the last day of the Performance Cycle and is otherwise eligible for a pro rata payout in accordance with the terms of this Agreement, further multiplied by (c) the Participation Period Factor.</w:t>
      </w:r>
    </w:p>
    <w:p>
      <w:pPr>
        <w:spacing w:after="0" w:line="155" w:lineRule="exact"/>
        <w:rPr>
          <w:rFonts w:ascii="Arial" w:cs="Arial" w:eastAsia="Arial" w:hAnsi="Arial"/>
          <w:sz w:val="19"/>
          <w:szCs w:val="19"/>
          <w:color w:val="auto"/>
        </w:rPr>
      </w:pPr>
    </w:p>
    <w:p>
      <w:pPr>
        <w:ind w:left="640" w:hanging="632"/>
        <w:spacing w:after="0"/>
        <w:tabs>
          <w:tab w:leader="none" w:pos="64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LTI Grant Target</w:t>
      </w:r>
      <w:r>
        <w:rPr>
          <w:rFonts w:ascii="Arial" w:cs="Arial" w:eastAsia="Arial" w:hAnsi="Arial"/>
          <w:sz w:val="19"/>
          <w:szCs w:val="19"/>
          <w:color w:val="auto"/>
        </w:rPr>
        <w:t>. “LTI Grant Target” means the target number of shares of Common Stock or amount set forth in the Notice.</w:t>
      </w:r>
    </w:p>
    <w:p>
      <w:pPr>
        <w:spacing w:after="0" w:line="186" w:lineRule="exact"/>
        <w:rPr>
          <w:rFonts w:ascii="Arial" w:cs="Arial" w:eastAsia="Arial" w:hAnsi="Arial"/>
          <w:sz w:val="19"/>
          <w:szCs w:val="19"/>
          <w:color w:val="auto"/>
        </w:rPr>
      </w:pPr>
    </w:p>
    <w:p>
      <w:pPr>
        <w:ind w:left="640" w:hanging="632"/>
        <w:spacing w:after="0"/>
        <w:tabs>
          <w:tab w:leader="none" w:pos="64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Maximum Goal Factor</w:t>
      </w:r>
      <w:r>
        <w:rPr>
          <w:rFonts w:ascii="Arial" w:cs="Arial" w:eastAsia="Arial" w:hAnsi="Arial"/>
          <w:sz w:val="20"/>
          <w:szCs w:val="20"/>
          <w:color w:val="auto"/>
        </w:rPr>
        <w:t>. “Maximum Goal Factor” means the maximum percentage set forth in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32" w:right="339" w:bottom="1440" w:gutter="0" w:footer="0" w:header="0"/>
        </w:sectPr>
      </w:pPr>
    </w:p>
    <w:bookmarkStart w:id="104" w:name="page105"/>
    <w:bookmarkEnd w:id="104"/>
    <w:p>
      <w:pPr>
        <w:ind w:left="-8" w:right="100" w:firstLine="8"/>
        <w:spacing w:after="0" w:line="213" w:lineRule="auto"/>
        <w:tabs>
          <w:tab w:leader="none" w:pos="63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Participation Period Factor</w:t>
      </w:r>
      <w:r>
        <w:rPr>
          <w:rFonts w:ascii="Arial" w:cs="Arial" w:eastAsia="Arial" w:hAnsi="Arial"/>
          <w:sz w:val="20"/>
          <w:szCs w:val="20"/>
          <w:color w:val="auto"/>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55" w:lineRule="exact"/>
        <w:rPr>
          <w:rFonts w:ascii="Arial" w:cs="Arial" w:eastAsia="Arial" w:hAnsi="Arial"/>
          <w:sz w:val="20"/>
          <w:szCs w:val="20"/>
          <w:color w:val="auto"/>
        </w:rPr>
      </w:pPr>
    </w:p>
    <w:p>
      <w:pPr>
        <w:ind w:left="-8" w:right="420" w:firstLine="8"/>
        <w:spacing w:after="0" w:line="229" w:lineRule="auto"/>
        <w:tabs>
          <w:tab w:leader="none" w:pos="62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Performance Cycle</w:t>
      </w:r>
      <w:r>
        <w:rPr>
          <w:rFonts w:ascii="Arial" w:cs="Arial" w:eastAsia="Arial" w:hAnsi="Arial"/>
          <w:sz w:val="20"/>
          <w:szCs w:val="20"/>
          <w:color w:val="auto"/>
        </w:rPr>
        <w:t>. “Performance Cycle” means the performance period set forth in the Notice over which the attainment of the Performance Goals will be measured for the purpose of determining the LTI Award Payout.</w:t>
      </w:r>
    </w:p>
    <w:p>
      <w:pPr>
        <w:spacing w:after="0" w:line="155" w:lineRule="exact"/>
        <w:rPr>
          <w:rFonts w:ascii="Arial" w:cs="Arial" w:eastAsia="Arial" w:hAnsi="Arial"/>
          <w:sz w:val="20"/>
          <w:szCs w:val="20"/>
          <w:color w:val="auto"/>
        </w:rPr>
      </w:pPr>
    </w:p>
    <w:p>
      <w:pPr>
        <w:ind w:left="-8" w:right="60" w:firstLine="8"/>
        <w:spacing w:after="0" w:line="242" w:lineRule="auto"/>
        <w:tabs>
          <w:tab w:leader="none" w:pos="62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Performance Goal Attainment Factor</w:t>
      </w:r>
      <w:r>
        <w:rPr>
          <w:rFonts w:ascii="Arial" w:cs="Arial" w:eastAsia="Arial" w:hAnsi="Arial"/>
          <w:sz w:val="19"/>
          <w:szCs w:val="19"/>
          <w:color w:val="auto"/>
        </w:rPr>
        <w:t>. “Performance Goal Attainment Factor” means a percentage ranging from 0% to the Maximum Goal Factor representing the level at which the Performance Goals have been attained as determined by the Committee.</w:t>
      </w:r>
    </w:p>
    <w:p>
      <w:pPr>
        <w:spacing w:after="0" w:line="153" w:lineRule="exact"/>
        <w:rPr>
          <w:rFonts w:ascii="Arial" w:cs="Arial" w:eastAsia="Arial" w:hAnsi="Arial"/>
          <w:sz w:val="19"/>
          <w:szCs w:val="19"/>
          <w:color w:val="auto"/>
        </w:rPr>
      </w:pPr>
    </w:p>
    <w:p>
      <w:pPr>
        <w:ind w:left="-8" w:right="820" w:firstLine="8"/>
        <w:spacing w:after="0" w:line="213" w:lineRule="auto"/>
        <w:tabs>
          <w:tab w:leader="none" w:pos="63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w:t>
      </w:r>
    </w:p>
    <w:p>
      <w:pPr>
        <w:spacing w:after="0" w:line="156" w:lineRule="exact"/>
        <w:rPr>
          <w:sz w:val="20"/>
          <w:szCs w:val="20"/>
          <w:color w:val="auto"/>
        </w:rPr>
      </w:pPr>
    </w:p>
    <w:p>
      <w:pPr>
        <w:jc w:val="both"/>
        <w:ind w:left="-8" w:right="380" w:firstLine="8"/>
        <w:spacing w:after="0" w:line="218" w:lineRule="auto"/>
        <w:tabs>
          <w:tab w:leader="none" w:pos="64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156" w:lineRule="exact"/>
        <w:rPr>
          <w:rFonts w:ascii="Arial" w:cs="Arial" w:eastAsia="Arial" w:hAnsi="Arial"/>
          <w:sz w:val="20"/>
          <w:szCs w:val="20"/>
          <w:color w:val="auto"/>
        </w:rPr>
      </w:pPr>
    </w:p>
    <w:p>
      <w:pPr>
        <w:ind w:left="652" w:hanging="652"/>
        <w:spacing w:after="0"/>
        <w:tabs>
          <w:tab w:leader="none" w:pos="65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Vesting and Forfeiture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8" w:right="140" w:firstLine="656"/>
        <w:spacing w:after="0" w:line="218" w:lineRule="auto"/>
        <w:tabs>
          <w:tab w:leader="none" w:pos="1278" w:val="left"/>
        </w:tabs>
        <w:numPr>
          <w:ilvl w:val="1"/>
          <w:numId w:val="61"/>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spacing w:after="0" w:line="156" w:lineRule="exact"/>
        <w:rPr>
          <w:rFonts w:ascii="Arial" w:cs="Arial" w:eastAsia="Arial" w:hAnsi="Arial"/>
          <w:sz w:val="20"/>
          <w:szCs w:val="20"/>
          <w:color w:val="auto"/>
        </w:rPr>
      </w:pPr>
    </w:p>
    <w:p>
      <w:pPr>
        <w:ind w:left="-8" w:right="120" w:firstLine="656"/>
        <w:spacing w:after="0" w:line="225" w:lineRule="auto"/>
        <w:tabs>
          <w:tab w:leader="none" w:pos="1276"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Unless determined otherwise by the Committee or except as expressly provided in this Agreement, if the Participant has not been continuously and actively employed with a member of the Mondelēz Group that employs the Participant (the “</w:t>
      </w:r>
      <w:r>
        <w:rPr>
          <w:rFonts w:ascii="Arial" w:cs="Arial" w:eastAsia="Arial" w:hAnsi="Arial"/>
          <w:sz w:val="18"/>
          <w:szCs w:val="18"/>
          <w:u w:val="single" w:color="auto"/>
          <w:color w:val="auto"/>
        </w:rPr>
        <w:t>Employer</w:t>
      </w:r>
      <w:r>
        <w:rPr>
          <w:rFonts w:ascii="Arial" w:cs="Arial" w:eastAsia="Arial" w:hAnsi="Arial"/>
          <w:sz w:val="18"/>
          <w:szCs w:val="18"/>
          <w:color w:val="auto"/>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Arial" w:cs="Arial" w:eastAsia="Arial" w:hAnsi="Arial"/>
          <w:sz w:val="18"/>
          <w:szCs w:val="18"/>
          <w:i w:val="1"/>
          <w:iCs w:val="1"/>
          <w:color w:val="auto"/>
        </w:rPr>
        <w:t>e.g.</w:t>
      </w:r>
      <w:r>
        <w:rPr>
          <w:rFonts w:ascii="Arial" w:cs="Arial" w:eastAsia="Arial" w:hAnsi="Arial"/>
          <w:sz w:val="18"/>
          <w:szCs w:val="18"/>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160" w:lineRule="exact"/>
        <w:rPr>
          <w:rFonts w:ascii="Arial" w:cs="Arial" w:eastAsia="Arial" w:hAnsi="Arial"/>
          <w:sz w:val="18"/>
          <w:szCs w:val="18"/>
          <w:color w:val="auto"/>
        </w:rPr>
      </w:pPr>
    </w:p>
    <w:p>
      <w:pPr>
        <w:ind w:left="-8" w:right="20" w:firstLine="1304"/>
        <w:spacing w:after="0" w:line="213" w:lineRule="auto"/>
        <w:tabs>
          <w:tab w:leader="none" w:pos="1934" w:val="left"/>
        </w:tabs>
        <w:numPr>
          <w:ilvl w:val="2"/>
          <w:numId w:val="61"/>
        </w:numPr>
        <w:rPr>
          <w:rFonts w:ascii="Arial" w:cs="Arial" w:eastAsia="Arial" w:hAnsi="Arial"/>
          <w:sz w:val="20"/>
          <w:szCs w:val="20"/>
          <w:color w:val="auto"/>
        </w:rPr>
      </w:pPr>
      <w:r>
        <w:rPr>
          <w:rFonts w:ascii="Arial" w:cs="Arial" w:eastAsia="Arial" w:hAnsi="Arial"/>
          <w:sz w:val="20"/>
          <w:szCs w:val="20"/>
          <w:u w:val="single" w:color="auto"/>
          <w:color w:val="auto"/>
        </w:rPr>
        <w:t>Death/Disability</w:t>
      </w:r>
      <w:r>
        <w:rPr>
          <w:rFonts w:ascii="Arial" w:cs="Arial" w:eastAsia="Arial" w:hAnsi="Arial"/>
          <w:sz w:val="20"/>
          <w:szCs w:val="20"/>
          <w:color w:val="auto"/>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spacing w:after="0" w:line="155" w:lineRule="exact"/>
        <w:rPr>
          <w:rFonts w:ascii="Arial" w:cs="Arial" w:eastAsia="Arial" w:hAnsi="Arial"/>
          <w:sz w:val="20"/>
          <w:szCs w:val="20"/>
          <w:color w:val="auto"/>
        </w:rPr>
      </w:pPr>
    </w:p>
    <w:p>
      <w:pPr>
        <w:ind w:left="-8" w:firstLine="1304"/>
        <w:spacing w:after="0" w:line="289" w:lineRule="auto"/>
        <w:tabs>
          <w:tab w:leader="none" w:pos="1984" w:val="left"/>
        </w:tabs>
        <w:numPr>
          <w:ilvl w:val="2"/>
          <w:numId w:val="61"/>
        </w:numPr>
        <w:rPr>
          <w:rFonts w:ascii="Arial" w:cs="Arial" w:eastAsia="Arial" w:hAnsi="Arial"/>
          <w:sz w:val="16"/>
          <w:szCs w:val="16"/>
          <w:color w:val="auto"/>
        </w:rPr>
      </w:pPr>
      <w:r>
        <w:rPr>
          <w:rFonts w:ascii="Arial" w:cs="Arial" w:eastAsia="Arial" w:hAnsi="Arial"/>
          <w:sz w:val="16"/>
          <w:szCs w:val="16"/>
          <w:u w:val="single" w:color="auto"/>
          <w:color w:val="auto"/>
        </w:rPr>
        <w:t>Retirement</w:t>
      </w:r>
      <w:r>
        <w:rPr>
          <w:rFonts w:ascii="Arial" w:cs="Arial" w:eastAsia="Arial" w:hAnsi="Arial"/>
          <w:sz w:val="16"/>
          <w:szCs w:val="16"/>
          <w:color w:val="auto"/>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7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12"/>
          </w:cols>
          <w:pgMar w:left="328" w:top="1432" w:right="35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color w:val="auto"/>
        </w:rPr>
        <w:t>form and manner determined by the Company in its sole discretion, then, unless otherwise determined by the Committee:</w:t>
      </w:r>
    </w:p>
    <w:p>
      <w:pPr>
        <w:spacing w:after="0" w:line="175" w:lineRule="exact"/>
        <w:rPr>
          <w:sz w:val="20"/>
          <w:szCs w:val="20"/>
          <w:color w:val="auto"/>
        </w:rPr>
      </w:pPr>
    </w:p>
    <w:p>
      <w:pPr>
        <w:ind w:right="160" w:firstLine="1952"/>
        <w:spacing w:after="0" w:line="233" w:lineRule="auto"/>
        <w:tabs>
          <w:tab w:leader="none" w:pos="2585" w:val="left"/>
        </w:tabs>
        <w:numPr>
          <w:ilvl w:val="1"/>
          <w:numId w:val="62"/>
        </w:numPr>
        <w:rPr>
          <w:rFonts w:ascii="Arial" w:cs="Arial" w:eastAsia="Arial" w:hAnsi="Arial"/>
          <w:sz w:val="16"/>
          <w:szCs w:val="16"/>
          <w:color w:val="auto"/>
        </w:rPr>
      </w:pPr>
      <w:r>
        <w:rPr>
          <w:rFonts w:ascii="Arial" w:cs="Arial" w:eastAsia="Arial" w:hAnsi="Arial"/>
          <w:sz w:val="18"/>
          <w:szCs w:val="18"/>
          <w:color w:val="auto"/>
        </w:rPr>
        <w:t xml:space="preserve">if, on the Retirement date, the Participant is employed as a "Band F+" employee: </w:t>
      </w:r>
      <w:r>
        <w:rPr>
          <w:rFonts w:ascii="Arial" w:cs="Arial" w:eastAsia="Arial" w:hAnsi="Arial"/>
          <w:sz w:val="18"/>
          <w:szCs w:val="18"/>
          <w:i w:val="1"/>
          <w:iCs w:val="1"/>
          <w:color w:val="auto"/>
        </w:rPr>
        <w:t>(i)</w:t>
      </w:r>
      <w:r>
        <w:rPr>
          <w:rFonts w:ascii="Arial" w:cs="Arial" w:eastAsia="Arial" w:hAnsi="Arial"/>
          <w:sz w:val="18"/>
          <w:szCs w:val="18"/>
          <w:color w:val="auto"/>
        </w:rPr>
        <w:t xml:space="preserve"> and, if the Retirement date occurs on or prior to the 90th day following the Grant Date, the LTI Grant will be forfeited immediately and without any further action by the Company or the Committee; </w:t>
      </w:r>
      <w:r>
        <w:rPr>
          <w:rFonts w:ascii="Arial" w:cs="Arial" w:eastAsia="Arial" w:hAnsi="Arial"/>
          <w:sz w:val="18"/>
          <w:szCs w:val="18"/>
          <w:i w:val="1"/>
          <w:iCs w:val="1"/>
          <w:color w:val="auto"/>
        </w:rPr>
        <w:t>(ii)</w:t>
      </w:r>
      <w:r>
        <w:rPr>
          <w:rFonts w:ascii="Arial" w:cs="Arial" w:eastAsia="Arial" w:hAnsi="Arial"/>
          <w:sz w:val="18"/>
          <w:szCs w:val="18"/>
          <w:color w:val="auto"/>
        </w:rPr>
        <w:t xml:space="preserve"> and, if the Retirement date occurs on or after the 91st day following the Grant Date , the Participant shall remain eligible to receive a prorated LTI Award Payout (calculated pursuant to paragraph 1(c) of this Agreement) based on actual attainment of the Performance Goals, payable in accordance with the payment timing provisions set forth in paragraph 4(a)(iii) hereof.</w:t>
      </w:r>
    </w:p>
    <w:p>
      <w:pPr>
        <w:spacing w:after="0" w:line="156" w:lineRule="exact"/>
        <w:rPr>
          <w:rFonts w:ascii="Arial" w:cs="Arial" w:eastAsia="Arial" w:hAnsi="Arial"/>
          <w:sz w:val="16"/>
          <w:szCs w:val="16"/>
          <w:color w:val="auto"/>
        </w:rPr>
      </w:pPr>
    </w:p>
    <w:p>
      <w:pPr>
        <w:ind w:right="60" w:firstLine="1952"/>
        <w:spacing w:after="0" w:line="221" w:lineRule="auto"/>
        <w:tabs>
          <w:tab w:leader="none" w:pos="2589" w:val="left"/>
        </w:tabs>
        <w:numPr>
          <w:ilvl w:val="1"/>
          <w:numId w:val="62"/>
        </w:numPr>
        <w:rPr>
          <w:rFonts w:ascii="Arial" w:cs="Arial" w:eastAsia="Arial" w:hAnsi="Arial"/>
          <w:sz w:val="16"/>
          <w:szCs w:val="16"/>
          <w:color w:val="auto"/>
        </w:rPr>
      </w:pPr>
      <w:r>
        <w:rPr>
          <w:rFonts w:ascii="Arial" w:cs="Arial" w:eastAsia="Arial" w:hAnsi="Arial"/>
          <w:sz w:val="18"/>
          <w:szCs w:val="18"/>
          <w:color w:val="auto"/>
        </w:rPr>
        <w:t xml:space="preserve">if, on the Retirement date, the Participant is employed as a "Band G", "Band H", or "Band I" employee: </w:t>
      </w:r>
      <w:r>
        <w:rPr>
          <w:rFonts w:ascii="Arial" w:cs="Arial" w:eastAsia="Arial" w:hAnsi="Arial"/>
          <w:sz w:val="18"/>
          <w:szCs w:val="18"/>
          <w:i w:val="1"/>
          <w:iCs w:val="1"/>
          <w:color w:val="auto"/>
        </w:rPr>
        <w:t>(i)</w:t>
      </w:r>
      <w:r>
        <w:rPr>
          <w:rFonts w:ascii="Arial" w:cs="Arial" w:eastAsia="Arial" w:hAnsi="Arial"/>
          <w:sz w:val="18"/>
          <w:szCs w:val="18"/>
          <w:color w:val="auto"/>
        </w:rPr>
        <w:t xml:space="preserve"> and, if the Retirement date occurs on or prior to the 90th day following the Grant Date, the LTI Grant will be forfeited immediately and without any further action by the Company or the Committee; </w:t>
      </w:r>
      <w:r>
        <w:rPr>
          <w:rFonts w:ascii="Arial" w:cs="Arial" w:eastAsia="Arial" w:hAnsi="Arial"/>
          <w:sz w:val="18"/>
          <w:szCs w:val="18"/>
          <w:i w:val="1"/>
          <w:iCs w:val="1"/>
          <w:color w:val="auto"/>
        </w:rPr>
        <w:t>(ii)</w:t>
      </w:r>
      <w:r>
        <w:rPr>
          <w:rFonts w:ascii="Arial" w:cs="Arial" w:eastAsia="Arial" w:hAnsi="Arial"/>
          <w:sz w:val="18"/>
          <w:szCs w:val="18"/>
          <w:color w:val="auto"/>
        </w:rPr>
        <w:t xml:space="preserve"> and, if the Retirement date occurs within the period commencing on the 91st day following the Grant Date and ending on the last day of the two (2)-year period following the start of the Performance Cycle, the Participant shall remain eligible to receive a prorated LTI Award Payout (calculated pursuant to paragraph 1(c) of this Agreement, provided that the Performance Goal Attainment Factor shall equal to 100%), payable in accordance with the payment timing provisions set forth in paragraph 4(a)(iii) hereof; </w:t>
      </w:r>
      <w:r>
        <w:rPr>
          <w:rFonts w:ascii="Arial" w:cs="Arial" w:eastAsia="Arial" w:hAnsi="Arial"/>
          <w:sz w:val="18"/>
          <w:szCs w:val="18"/>
          <w:i w:val="1"/>
          <w:iCs w:val="1"/>
          <w:color w:val="auto"/>
        </w:rPr>
        <w:t>(iii)</w:t>
      </w:r>
      <w:r>
        <w:rPr>
          <w:rFonts w:ascii="Arial" w:cs="Arial" w:eastAsia="Arial" w:hAnsi="Arial"/>
          <w:sz w:val="18"/>
          <w:szCs w:val="18"/>
          <w:color w:val="auto"/>
        </w:rPr>
        <w:t xml:space="preserve"> and, if the Retirement date occurs after the end of the two-year period following the start of the Performance Cycle, the Participant shall remain eligible to receive a prorated LTI Award Payout (calculated pursuant to paragraph 1(c) of this Agreement) based on actual attainment of the Performance Goals, payable in accordance with the payment timing provisions set forth in paragraph 4(a)</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hereof.</w:t>
      </w:r>
    </w:p>
    <w:p>
      <w:pPr>
        <w:spacing w:after="0" w:line="159"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For the purposes of this section 3(b), the prorated LTI Award Payout will be calculated by applying the Participant’s Participation Period Factor as determined in the sole discretion of the Committee, subject to compliance with the payment timing provisions set forth in paragraph 4 hereof.</w:t>
      </w:r>
    </w:p>
    <w:p>
      <w:pPr>
        <w:spacing w:after="0" w:line="156" w:lineRule="exact"/>
        <w:rPr>
          <w:sz w:val="20"/>
          <w:szCs w:val="20"/>
          <w:color w:val="auto"/>
        </w:rPr>
      </w:pPr>
    </w:p>
    <w:p>
      <w:pPr>
        <w:ind w:right="20"/>
        <w:spacing w:after="0" w:line="210" w:lineRule="auto"/>
        <w:rPr>
          <w:sz w:val="20"/>
          <w:szCs w:val="20"/>
          <w:color w:val="auto"/>
        </w:rPr>
      </w:pPr>
      <w:r>
        <w:rPr>
          <w:rFonts w:ascii="Arial" w:cs="Arial" w:eastAsia="Arial" w:hAnsi="Arial"/>
          <w:sz w:val="20"/>
          <w:szCs w:val="20"/>
          <w:color w:val="auto"/>
        </w:rPr>
        <w:t>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155"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Form and Time of Payment</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firstLine="1304"/>
        <w:spacing w:after="0" w:line="268" w:lineRule="auto"/>
        <w:tabs>
          <w:tab w:leader="none" w:pos="1942"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33" w:lineRule="exact"/>
        <w:rPr>
          <w:rFonts w:ascii="Arial" w:cs="Arial" w:eastAsia="Arial" w:hAnsi="Arial"/>
          <w:sz w:val="16"/>
          <w:szCs w:val="16"/>
          <w:color w:val="auto"/>
        </w:rPr>
      </w:pPr>
    </w:p>
    <w:p>
      <w:pPr>
        <w:ind w:right="200" w:firstLine="1304"/>
        <w:spacing w:after="0" w:line="213" w:lineRule="auto"/>
        <w:tabs>
          <w:tab w:leader="none" w:pos="1943" w:val="left"/>
        </w:tabs>
        <w:numPr>
          <w:ilvl w:val="2"/>
          <w:numId w:val="64"/>
        </w:numPr>
        <w:rPr>
          <w:rFonts w:ascii="Arial" w:cs="Arial" w:eastAsia="Arial" w:hAnsi="Arial"/>
          <w:sz w:val="20"/>
          <w:szCs w:val="20"/>
          <w:color w:val="auto"/>
        </w:rPr>
      </w:pPr>
      <w:r>
        <w:rPr>
          <w:rFonts w:ascii="Arial" w:cs="Arial" w:eastAsia="Arial" w:hAnsi="Arial"/>
          <w:sz w:val="20"/>
          <w:szCs w:val="20"/>
          <w:u w:val="single" w:color="auto"/>
          <w:color w:val="auto"/>
        </w:rPr>
        <w:t>Certification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Goal Attainment Factor Determination</w:t>
      </w:r>
      <w:r>
        <w:rPr>
          <w:rFonts w:ascii="Arial" w:cs="Arial" w:eastAsia="Arial" w:hAnsi="Arial"/>
          <w:sz w:val="20"/>
          <w:szCs w:val="20"/>
          <w:color w:val="auto"/>
        </w:rPr>
        <w:t>.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155" w:lineRule="exact"/>
        <w:rPr>
          <w:rFonts w:ascii="Arial" w:cs="Arial" w:eastAsia="Arial" w:hAnsi="Arial"/>
          <w:sz w:val="20"/>
          <w:szCs w:val="20"/>
          <w:color w:val="auto"/>
        </w:rPr>
      </w:pPr>
    </w:p>
    <w:p>
      <w:pPr>
        <w:ind w:left="1960" w:hanging="656"/>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Payment Timing</w:t>
      </w:r>
      <w:r>
        <w:rPr>
          <w:rFonts w:ascii="Arial" w:cs="Arial" w:eastAsia="Arial" w:hAnsi="Arial"/>
          <w:sz w:val="18"/>
          <w:szCs w:val="18"/>
          <w:color w:val="auto"/>
        </w:rPr>
        <w:t>. Subject to the terms of this Agreement, including Section 22, the Award shall be paid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432" w:right="359" w:bottom="1440" w:gutter="0" w:footer="0" w:header="0"/>
        </w:sectPr>
      </w:pPr>
    </w:p>
    <w:bookmarkStart w:id="106" w:name="page107"/>
    <w:bookmarkEnd w:id="106"/>
    <w:p>
      <w:pPr>
        <w:ind w:left="-8" w:right="40" w:firstLine="1952"/>
        <w:spacing w:after="0" w:line="210" w:lineRule="auto"/>
        <w:tabs>
          <w:tab w:leader="none" w:pos="2577" w:val="left"/>
        </w:tabs>
        <w:numPr>
          <w:ilvl w:val="3"/>
          <w:numId w:val="65"/>
        </w:numPr>
        <w:rPr>
          <w:rFonts w:ascii="Arial" w:cs="Arial" w:eastAsia="Arial" w:hAnsi="Arial"/>
          <w:sz w:val="18"/>
          <w:szCs w:val="18"/>
          <w:color w:val="auto"/>
        </w:rPr>
      </w:pPr>
      <w:r>
        <w:rPr>
          <w:rFonts w:ascii="Arial" w:cs="Arial" w:eastAsia="Arial" w:hAnsi="Arial"/>
          <w:sz w:val="20"/>
          <w:szCs w:val="20"/>
          <w:color w:val="auto"/>
        </w:rPr>
        <w:t>The LTI Award Payout, including a payout upon a Participant’s Retirement described under paragraph 3(b) (ii)(A)</w:t>
      </w:r>
      <w:r>
        <w:rPr>
          <w:rFonts w:ascii="Arial" w:cs="Arial" w:eastAsia="Arial" w:hAnsi="Arial"/>
          <w:sz w:val="20"/>
          <w:szCs w:val="20"/>
          <w:i w:val="1"/>
          <w:iCs w:val="1"/>
          <w:color w:val="auto"/>
        </w:rPr>
        <w:t>.</w:t>
      </w:r>
      <w:r>
        <w:rPr>
          <w:rFonts w:ascii="Arial" w:cs="Arial" w:eastAsia="Arial" w:hAnsi="Arial"/>
          <w:sz w:val="20"/>
          <w:szCs w:val="20"/>
          <w:color w:val="auto"/>
        </w:rPr>
        <w:t xml:space="preserve"> hereof or during the period described under paragraph 3(b)(ii)(B)(iii) hereof, shall be paid as soon as practicable between January 1 and March 15 of the calendar year immediately following or coinciding with the end of the Performance Cycle following the date the Committee determines that the Performance Goals for the Performance Cycle have been attained and determines an LTI Grant has vested and is payable for the Performance Cycle.</w:t>
      </w:r>
    </w:p>
    <w:p>
      <w:pPr>
        <w:spacing w:after="0" w:line="154" w:lineRule="exact"/>
        <w:rPr>
          <w:rFonts w:ascii="Arial" w:cs="Arial" w:eastAsia="Arial" w:hAnsi="Arial"/>
          <w:sz w:val="18"/>
          <w:szCs w:val="18"/>
          <w:color w:val="auto"/>
        </w:rPr>
      </w:pPr>
    </w:p>
    <w:p>
      <w:pPr>
        <w:ind w:left="-8" w:right="20" w:firstLine="1952"/>
        <w:spacing w:after="0" w:line="229" w:lineRule="auto"/>
        <w:tabs>
          <w:tab w:leader="none" w:pos="2581" w:val="left"/>
        </w:tabs>
        <w:numPr>
          <w:ilvl w:val="3"/>
          <w:numId w:val="65"/>
        </w:numPr>
        <w:rPr>
          <w:rFonts w:ascii="Arial" w:cs="Arial" w:eastAsia="Arial" w:hAnsi="Arial"/>
          <w:sz w:val="18"/>
          <w:szCs w:val="18"/>
          <w:color w:val="auto"/>
        </w:rPr>
      </w:pPr>
      <w:r>
        <w:rPr>
          <w:rFonts w:ascii="Arial" w:cs="Arial" w:eastAsia="Arial" w:hAnsi="Arial"/>
          <w:sz w:val="20"/>
          <w:szCs w:val="20"/>
          <w:color w:val="auto"/>
        </w:rPr>
        <w:t>An Award that becomes payable under paragraph 3(b)(i) hereof in connection with a Participant’s death shall be paid within 75 days following the Participant’s death.</w:t>
      </w:r>
    </w:p>
    <w:p>
      <w:pPr>
        <w:spacing w:after="0" w:line="155" w:lineRule="exact"/>
        <w:rPr>
          <w:rFonts w:ascii="Arial" w:cs="Arial" w:eastAsia="Arial" w:hAnsi="Arial"/>
          <w:sz w:val="18"/>
          <w:szCs w:val="18"/>
          <w:color w:val="auto"/>
        </w:rPr>
      </w:pPr>
    </w:p>
    <w:p>
      <w:pPr>
        <w:ind w:left="-8" w:right="140" w:firstLine="1952"/>
        <w:spacing w:after="0" w:line="229" w:lineRule="auto"/>
        <w:tabs>
          <w:tab w:leader="none" w:pos="2581" w:val="left"/>
        </w:tabs>
        <w:numPr>
          <w:ilvl w:val="3"/>
          <w:numId w:val="65"/>
        </w:numPr>
        <w:rPr>
          <w:rFonts w:ascii="Arial" w:cs="Arial" w:eastAsia="Arial" w:hAnsi="Arial"/>
          <w:sz w:val="16"/>
          <w:szCs w:val="16"/>
          <w:color w:val="auto"/>
        </w:rPr>
      </w:pPr>
      <w:r>
        <w:rPr>
          <w:rFonts w:ascii="Arial" w:cs="Arial" w:eastAsia="Arial" w:hAnsi="Arial"/>
          <w:sz w:val="18"/>
          <w:szCs w:val="18"/>
          <w:color w:val="auto"/>
        </w:rPr>
        <w:t>An Award that becomes payable in connection with the Participant’s (i) Retirement during the period described under paragraph 3(b)(ii)(B)(ii) hereof or (ii) termination resulting from Disability as described under paragraph 3(b)(i), shall be paid within 75 days following such termination of employment or Disability, as applicable, provided that if the Participant is subject to taxation under the laws of the U.S., the Award is considered Deferred Compensation (as defined in Section 22 hereof) and is payable upon a termination resulting from Disability described in clause (ii) and the Disability experienced by the Participant does not constitute a “disability” within the meaning of Section 409A of the Code (in each case as determined by the Company in its sole discretion), then such payment shall be made in accordance with the payment timing described under paragraph 4(a)(iii)(A) hereof.</w:t>
      </w:r>
    </w:p>
    <w:p>
      <w:pPr>
        <w:spacing w:after="0" w:line="399" w:lineRule="exact"/>
        <w:rPr>
          <w:rFonts w:ascii="Arial" w:cs="Arial" w:eastAsia="Arial" w:hAnsi="Arial"/>
          <w:sz w:val="16"/>
          <w:szCs w:val="16"/>
          <w:color w:val="auto"/>
        </w:rPr>
      </w:pPr>
    </w:p>
    <w:p>
      <w:pPr>
        <w:ind w:left="-8" w:right="300" w:firstLine="656"/>
        <w:spacing w:after="0" w:line="229" w:lineRule="auto"/>
        <w:tabs>
          <w:tab w:leader="none" w:pos="1276"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Conditions to Payment of an Award</w:t>
      </w:r>
      <w:r>
        <w:rPr>
          <w:rFonts w:ascii="Arial" w:cs="Arial" w:eastAsia="Arial" w:hAnsi="Arial"/>
          <w:sz w:val="20"/>
          <w:szCs w:val="20"/>
          <w:color w:val="auto"/>
        </w:rPr>
        <w:t>. Notwithstanding any other provision of this Agreement (including without limitation paragraph 3(a) hereof):</w:t>
      </w:r>
    </w:p>
    <w:p>
      <w:pPr>
        <w:spacing w:after="0" w:line="155" w:lineRule="exact"/>
        <w:rPr>
          <w:rFonts w:ascii="Arial" w:cs="Arial" w:eastAsia="Arial" w:hAnsi="Arial"/>
          <w:sz w:val="20"/>
          <w:szCs w:val="20"/>
          <w:color w:val="auto"/>
        </w:rPr>
      </w:pPr>
    </w:p>
    <w:p>
      <w:pPr>
        <w:ind w:left="-8" w:right="260" w:firstLine="1304"/>
        <w:spacing w:after="0" w:line="218" w:lineRule="auto"/>
        <w:tabs>
          <w:tab w:leader="none" w:pos="1934" w:val="left"/>
        </w:tabs>
        <w:numPr>
          <w:ilvl w:val="2"/>
          <w:numId w:val="66"/>
        </w:numPr>
        <w:rPr>
          <w:rFonts w:ascii="Arial" w:cs="Arial" w:eastAsia="Arial" w:hAnsi="Arial"/>
          <w:sz w:val="20"/>
          <w:szCs w:val="20"/>
          <w:color w:val="auto"/>
        </w:rPr>
      </w:pPr>
      <w:r>
        <w:rPr>
          <w:rFonts w:ascii="Arial" w:cs="Arial" w:eastAsia="Arial" w:hAnsi="Arial"/>
          <w:sz w:val="20"/>
          <w:szCs w:val="20"/>
          <w:color w:val="auto"/>
        </w:rPr>
        <w:t>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spacing w:after="0" w:line="156" w:lineRule="exact"/>
        <w:rPr>
          <w:rFonts w:ascii="Arial" w:cs="Arial" w:eastAsia="Arial" w:hAnsi="Arial"/>
          <w:sz w:val="20"/>
          <w:szCs w:val="20"/>
          <w:color w:val="auto"/>
        </w:rPr>
      </w:pPr>
    </w:p>
    <w:p>
      <w:pPr>
        <w:ind w:left="-8" w:firstLine="1304"/>
        <w:spacing w:after="0" w:line="226" w:lineRule="auto"/>
        <w:tabs>
          <w:tab w:leader="none" w:pos="1935"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156" w:lineRule="exact"/>
        <w:rPr>
          <w:rFonts w:ascii="Arial" w:cs="Arial" w:eastAsia="Arial" w:hAnsi="Arial"/>
          <w:sz w:val="18"/>
          <w:szCs w:val="18"/>
          <w:color w:val="auto"/>
        </w:rPr>
      </w:pPr>
    </w:p>
    <w:p>
      <w:pPr>
        <w:ind w:left="-8" w:right="80" w:firstLine="656"/>
        <w:spacing w:after="0" w:line="236" w:lineRule="auto"/>
        <w:tabs>
          <w:tab w:leader="none" w:pos="127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Payment Amount</w:t>
      </w:r>
      <w:r>
        <w:rPr>
          <w:rFonts w:ascii="Arial" w:cs="Arial" w:eastAsia="Arial" w:hAnsi="Arial"/>
          <w:sz w:val="18"/>
          <w:szCs w:val="18"/>
          <w:color w:val="auto"/>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spacing w:after="0" w:line="157" w:lineRule="exact"/>
        <w:rPr>
          <w:rFonts w:ascii="Arial" w:cs="Arial" w:eastAsia="Arial" w:hAnsi="Arial"/>
          <w:sz w:val="18"/>
          <w:szCs w:val="18"/>
          <w:color w:val="auto"/>
        </w:rPr>
      </w:pPr>
    </w:p>
    <w:p>
      <w:pPr>
        <w:ind w:left="-8" w:right="260" w:firstLine="8"/>
        <w:spacing w:after="0" w:line="229" w:lineRule="auto"/>
        <w:tabs>
          <w:tab w:leader="none" w:pos="64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Treatment Upon a Change in Control</w:t>
      </w:r>
      <w:r>
        <w:rPr>
          <w:rFonts w:ascii="Arial" w:cs="Arial" w:eastAsia="Arial" w:hAnsi="Arial"/>
          <w:sz w:val="20"/>
          <w:szCs w:val="20"/>
          <w:color w:val="auto"/>
        </w:rPr>
        <w:t>. In the event of a Change in Control (as defined in Section 6(b) of the Plan), the LTI Grant is subject to the terms provided in Section 6 of the Plan.</w:t>
      </w:r>
    </w:p>
    <w:p>
      <w:pPr>
        <w:spacing w:after="0" w:line="155" w:lineRule="exact"/>
        <w:rPr>
          <w:rFonts w:ascii="Arial" w:cs="Arial" w:eastAsia="Arial" w:hAnsi="Arial"/>
          <w:sz w:val="20"/>
          <w:szCs w:val="20"/>
          <w:color w:val="auto"/>
        </w:rPr>
      </w:pPr>
    </w:p>
    <w:p>
      <w:pPr>
        <w:ind w:left="652" w:hanging="652"/>
        <w:spacing w:after="0"/>
        <w:tabs>
          <w:tab w:leader="none" w:pos="652"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8" w:right="140" w:firstLine="656"/>
        <w:spacing w:after="0" w:line="229" w:lineRule="auto"/>
        <w:tabs>
          <w:tab w:leader="none" w:pos="1278" w:val="left"/>
        </w:tabs>
        <w:numPr>
          <w:ilvl w:val="1"/>
          <w:numId w:val="67"/>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Participant agrees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7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32"/>
          </w:cols>
          <w:pgMar w:left="328" w:top="1432" w:right="3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covenants as follows for a period of twelve (12) months following the date of the Participant’s termination of employment from the</w:t>
      </w:r>
    </w:p>
    <w:p>
      <w:pPr>
        <w:spacing w:after="0"/>
        <w:rPr>
          <w:sz w:val="20"/>
          <w:szCs w:val="20"/>
          <w:color w:val="auto"/>
        </w:rPr>
      </w:pPr>
      <w:r>
        <w:rPr>
          <w:rFonts w:ascii="Arial" w:cs="Arial" w:eastAsia="Arial" w:hAnsi="Arial"/>
          <w:sz w:val="20"/>
          <w:szCs w:val="20"/>
          <w:color w:val="auto"/>
        </w:rPr>
        <w:t>Mondelēz Group:</w:t>
      </w:r>
    </w:p>
    <w:p>
      <w:pPr>
        <w:spacing w:after="0" w:line="159" w:lineRule="exact"/>
        <w:rPr>
          <w:sz w:val="20"/>
          <w:szCs w:val="20"/>
          <w:color w:val="auto"/>
        </w:rPr>
      </w:pPr>
    </w:p>
    <w:p>
      <w:pPr>
        <w:ind w:left="1300" w:right="40" w:hanging="320"/>
        <w:spacing w:after="0" w:line="225"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Company’s chief human resources officer,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155" w:lineRule="exact"/>
        <w:rPr>
          <w:rFonts w:ascii="Arial" w:cs="Arial" w:eastAsia="Arial" w:hAnsi="Arial"/>
          <w:sz w:val="18"/>
          <w:szCs w:val="18"/>
          <w:color w:val="auto"/>
        </w:rPr>
      </w:pPr>
    </w:p>
    <w:p>
      <w:pPr>
        <w:ind w:left="1300" w:right="380" w:hanging="320"/>
        <w:spacing w:after="0" w:line="213" w:lineRule="auto"/>
        <w:tabs>
          <w:tab w:leader="none" w:pos="130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Participant,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55" w:lineRule="exact"/>
        <w:rPr>
          <w:rFonts w:ascii="Arial" w:cs="Arial" w:eastAsia="Arial" w:hAnsi="Arial"/>
          <w:sz w:val="20"/>
          <w:szCs w:val="20"/>
          <w:color w:val="auto"/>
        </w:rPr>
      </w:pPr>
    </w:p>
    <w:p>
      <w:pPr>
        <w:ind w:left="1300" w:right="20" w:hanging="320"/>
        <w:spacing w:after="0" w:line="221" w:lineRule="auto"/>
        <w:tabs>
          <w:tab w:leader="none" w:pos="130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55" w:lineRule="exact"/>
        <w:rPr>
          <w:sz w:val="20"/>
          <w:szCs w:val="20"/>
          <w:color w:val="auto"/>
        </w:rPr>
      </w:pPr>
    </w:p>
    <w:p>
      <w:pPr>
        <w:ind w:right="40"/>
        <w:spacing w:after="0" w:line="215" w:lineRule="auto"/>
        <w:rPr>
          <w:sz w:val="20"/>
          <w:szCs w:val="20"/>
          <w:color w:val="auto"/>
        </w:rPr>
      </w:pPr>
      <w:r>
        <w:rPr>
          <w:rFonts w:ascii="Arial" w:cs="Arial" w:eastAsia="Arial" w:hAnsi="Arial"/>
          <w:sz w:val="19"/>
          <w:szCs w:val="19"/>
          <w:color w:val="auto"/>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55" w:lineRule="exact"/>
        <w:rPr>
          <w:sz w:val="20"/>
          <w:szCs w:val="20"/>
          <w:color w:val="auto"/>
        </w:rPr>
      </w:pPr>
    </w:p>
    <w:p>
      <w:pPr>
        <w:ind w:firstLine="656"/>
        <w:spacing w:after="0" w:line="224" w:lineRule="auto"/>
        <w:tabs>
          <w:tab w:leader="none" w:pos="1284" w:val="left"/>
        </w:tabs>
        <w:numPr>
          <w:ilvl w:val="0"/>
          <w:numId w:val="69"/>
        </w:numPr>
        <w:rPr>
          <w:rFonts w:ascii="Arial" w:cs="Arial" w:eastAsia="Arial" w:hAnsi="Arial"/>
          <w:sz w:val="19"/>
          <w:szCs w:val="19"/>
          <w:color w:val="auto"/>
        </w:rPr>
      </w:pPr>
      <w:r>
        <w:rPr>
          <w:rFonts w:ascii="Arial" w:cs="Arial" w:eastAsia="Arial" w:hAnsi="Arial"/>
          <w:sz w:val="19"/>
          <w:szCs w:val="19"/>
          <w:color w:val="auto"/>
        </w:rPr>
        <w:t>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paragraph 6(a):</w:t>
      </w:r>
    </w:p>
    <w:p>
      <w:pPr>
        <w:spacing w:after="0" w:line="156" w:lineRule="exact"/>
        <w:rPr>
          <w:rFonts w:ascii="Arial" w:cs="Arial" w:eastAsia="Arial" w:hAnsi="Arial"/>
          <w:sz w:val="19"/>
          <w:szCs w:val="19"/>
          <w:color w:val="auto"/>
        </w:rPr>
      </w:pPr>
    </w:p>
    <w:p>
      <w:pPr>
        <w:ind w:left="1300" w:hanging="320"/>
        <w:spacing w:after="0"/>
        <w:tabs>
          <w:tab w:leader="none" w:pos="1300" w:val="left"/>
        </w:tabs>
        <w:numPr>
          <w:ilvl w:val="1"/>
          <w:numId w:val="69"/>
        </w:numPr>
        <w:rPr>
          <w:rFonts w:ascii="Arial" w:cs="Arial" w:eastAsia="Arial" w:hAnsi="Arial"/>
          <w:sz w:val="20"/>
          <w:szCs w:val="20"/>
          <w:color w:val="auto"/>
        </w:rPr>
      </w:pPr>
      <w:r>
        <w:rPr>
          <w:rFonts w:ascii="Arial" w:cs="Arial" w:eastAsia="Arial" w:hAnsi="Arial"/>
          <w:sz w:val="20"/>
          <w:szCs w:val="20"/>
          <w:color w:val="auto"/>
        </w:rPr>
        <w:t>all unvested or unearned Grants (including any unearned portion of the LTI Grant) shall be immediately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19" w:right="339" w:bottom="1440" w:gutter="0" w:footer="0" w:header="0"/>
        </w:sectPr>
      </w:pPr>
    </w:p>
    <w:bookmarkStart w:id="108" w:name="page109"/>
    <w:bookmarkEnd w:id="108"/>
    <w:p>
      <w:pPr>
        <w:ind w:left="1120" w:right="140" w:hanging="320"/>
        <w:spacing w:after="0" w:line="218" w:lineRule="auto"/>
        <w:tabs>
          <w:tab w:leader="none" w:pos="112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spacing w:after="0" w:line="156" w:lineRule="exact"/>
        <w:rPr>
          <w:rFonts w:ascii="Arial" w:cs="Arial" w:eastAsia="Arial" w:hAnsi="Arial"/>
          <w:sz w:val="20"/>
          <w:szCs w:val="20"/>
          <w:color w:val="auto"/>
        </w:rPr>
      </w:pPr>
    </w:p>
    <w:p>
      <w:pPr>
        <w:ind w:left="1120" w:hanging="320"/>
        <w:spacing w:after="0" w:line="228" w:lineRule="auto"/>
        <w:tabs>
          <w:tab w:leader="none" w:pos="11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154" w:lineRule="exact"/>
        <w:rPr>
          <w:rFonts w:ascii="Arial" w:cs="Arial" w:eastAsia="Arial" w:hAnsi="Arial"/>
          <w:sz w:val="18"/>
          <w:szCs w:val="18"/>
          <w:color w:val="auto"/>
        </w:rPr>
      </w:pPr>
    </w:p>
    <w:p>
      <w:pPr>
        <w:ind w:left="1120" w:right="40" w:hanging="320"/>
        <w:spacing w:after="0" w:line="218" w:lineRule="auto"/>
        <w:tabs>
          <w:tab w:leader="none" w:pos="112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59" w:lineRule="exact"/>
        <w:rPr>
          <w:rFonts w:ascii="Arial" w:cs="Arial" w:eastAsia="Arial" w:hAnsi="Arial"/>
          <w:sz w:val="19"/>
          <w:szCs w:val="19"/>
          <w:color w:val="auto"/>
        </w:rPr>
      </w:pPr>
    </w:p>
    <w:p>
      <w:pPr>
        <w:ind w:left="-180" w:right="140" w:firstLine="656"/>
        <w:spacing w:after="0" w:line="224" w:lineRule="auto"/>
        <w:tabs>
          <w:tab w:leader="none" w:pos="885" w:val="left"/>
        </w:tabs>
        <w:numPr>
          <w:ilvl w:val="0"/>
          <w:numId w:val="71"/>
        </w:numPr>
        <w:rPr>
          <w:rFonts w:ascii="Arial" w:cs="Arial" w:eastAsia="Arial" w:hAnsi="Arial"/>
          <w:sz w:val="19"/>
          <w:szCs w:val="19"/>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56" w:lineRule="exact"/>
        <w:rPr>
          <w:rFonts w:ascii="Arial" w:cs="Arial" w:eastAsia="Arial" w:hAnsi="Arial"/>
          <w:sz w:val="19"/>
          <w:szCs w:val="19"/>
          <w:color w:val="auto"/>
        </w:rPr>
      </w:pPr>
    </w:p>
    <w:p>
      <w:pPr>
        <w:ind w:left="-180" w:right="140" w:firstLine="656"/>
        <w:spacing w:after="0" w:line="227" w:lineRule="auto"/>
        <w:tabs>
          <w:tab w:leader="none" w:pos="8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spacing w:after="0" w:line="155" w:lineRule="exact"/>
        <w:rPr>
          <w:rFonts w:ascii="Arial" w:cs="Arial" w:eastAsia="Arial" w:hAnsi="Arial"/>
          <w:sz w:val="18"/>
          <w:szCs w:val="18"/>
          <w:color w:val="auto"/>
        </w:rPr>
      </w:pPr>
    </w:p>
    <w:p>
      <w:pPr>
        <w:ind w:left="-180" w:right="60" w:firstLine="656"/>
        <w:spacing w:after="0" w:line="215" w:lineRule="auto"/>
        <w:tabs>
          <w:tab w:leader="none" w:pos="88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Participant is hereby advised in writing to consult with an attorney before entering into the covenants outlined in this Section 6. The Participant acknowledges that prior to acceptance of this Agreement, the Participant has been advised by the Company of the Participant's right to seek independent advice from an attorney of the Participant's own selection regarding this Agreement, including the restraints imposed upon him or her pursuant to this Section 6. The Participant acknowledges that they have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their own judgment and any advice provided by the Participant's attorney. The Participant acknowledges he or she has been provided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60"/>
          </w:cols>
          <w:pgMar w:left="500" w:top="1432" w:right="339" w:bottom="1440" w:gutter="0" w:footer="0" w:header="0"/>
        </w:sectPr>
      </w:pPr>
    </w:p>
    <w:bookmarkStart w:id="109" w:name="page110"/>
    <w:bookmarkEnd w:id="109"/>
    <w:p>
      <w:pPr>
        <w:ind w:right="140"/>
        <w:spacing w:after="0" w:line="229" w:lineRule="auto"/>
        <w:rPr>
          <w:sz w:val="20"/>
          <w:szCs w:val="20"/>
          <w:color w:val="auto"/>
        </w:rPr>
      </w:pPr>
      <w:r>
        <w:rPr>
          <w:rFonts w:ascii="Arial" w:cs="Arial" w:eastAsia="Arial" w:hAnsi="Arial"/>
          <w:sz w:val="20"/>
          <w:szCs w:val="20"/>
          <w:color w:val="auto"/>
        </w:rPr>
        <w:t>minimum 14 calendar days to review the provisions contained herein but may voluntarily waive this period and sign prior to the 14 calendar day period lapsing.</w:t>
      </w:r>
    </w:p>
    <w:p>
      <w:pPr>
        <w:spacing w:after="0" w:line="155" w:lineRule="exact"/>
        <w:rPr>
          <w:sz w:val="20"/>
          <w:szCs w:val="20"/>
          <w:color w:val="auto"/>
        </w:rPr>
      </w:pPr>
    </w:p>
    <w:p>
      <w:pPr>
        <w:ind w:right="180" w:firstLine="656"/>
        <w:spacing w:after="0" w:line="218" w:lineRule="auto"/>
        <w:tabs>
          <w:tab w:leader="none" w:pos="1044" w:val="left"/>
        </w:tabs>
        <w:numPr>
          <w:ilvl w:val="1"/>
          <w:numId w:val="72"/>
        </w:numPr>
        <w:rPr>
          <w:rFonts w:ascii="Arial" w:cs="Arial" w:eastAsia="Arial" w:hAnsi="Arial"/>
          <w:sz w:val="20"/>
          <w:szCs w:val="20"/>
          <w:color w:val="auto"/>
        </w:rPr>
      </w:pPr>
      <w:r>
        <w:rPr>
          <w:rFonts w:ascii="Arial" w:cs="Arial" w:eastAsia="Arial" w:hAnsi="Arial"/>
          <w:sz w:val="20"/>
          <w:szCs w:val="20"/>
          <w:color w:val="auto"/>
        </w:rPr>
        <w:t>For purposes of this Section 6, the Company and any member of the Mondelēz Group shall be deemed to be third-party beneficiaries with the right to seek enforcement of any of the provisions of this Section 6. Further, for purposes of this Section 6, references to acting directly or indirectly include acting jointly with or through another person.</w:t>
      </w:r>
    </w:p>
    <w:p>
      <w:pPr>
        <w:spacing w:after="0" w:line="156" w:lineRule="exact"/>
        <w:rPr>
          <w:rFonts w:ascii="Arial" w:cs="Arial" w:eastAsia="Arial" w:hAnsi="Arial"/>
          <w:sz w:val="20"/>
          <w:szCs w:val="20"/>
          <w:color w:val="auto"/>
        </w:rPr>
      </w:pPr>
    </w:p>
    <w:p>
      <w:pPr>
        <w:ind w:firstLine="8"/>
        <w:spacing w:after="0" w:line="216" w:lineRule="auto"/>
        <w:tabs>
          <w:tab w:leader="none" w:pos="648"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Clawback Policy/Forfeiture</w:t>
      </w:r>
      <w:r>
        <w:rPr>
          <w:rFonts w:ascii="Arial" w:cs="Arial" w:eastAsia="Arial" w:hAnsi="Arial"/>
          <w:sz w:val="19"/>
          <w:szCs w:val="19"/>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54" w:lineRule="exact"/>
        <w:rPr>
          <w:rFonts w:ascii="Arial" w:cs="Arial" w:eastAsia="Arial" w:hAnsi="Arial"/>
          <w:sz w:val="19"/>
          <w:szCs w:val="19"/>
          <w:color w:val="auto"/>
        </w:rPr>
      </w:pPr>
    </w:p>
    <w:p>
      <w:pPr>
        <w:ind w:right="20" w:firstLine="8"/>
        <w:spacing w:after="0" w:line="225"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Arial" w:cs="Arial" w:eastAsia="Arial" w:hAnsi="Arial"/>
          <w:sz w:val="18"/>
          <w:szCs w:val="18"/>
          <w:u w:val="single" w:color="auto"/>
          <w:color w:val="auto"/>
        </w:rPr>
        <w:t>Tax-Related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Items</w:t>
      </w:r>
      <w:r>
        <w:rPr>
          <w:rFonts w:ascii="Arial" w:cs="Arial" w:eastAsia="Arial" w:hAnsi="Arial"/>
          <w:sz w:val="18"/>
          <w:szCs w:val="18"/>
          <w:color w:val="auto"/>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spacing w:after="0" w:line="155" w:lineRule="exact"/>
        <w:rPr>
          <w:sz w:val="20"/>
          <w:szCs w:val="20"/>
          <w:color w:val="auto"/>
        </w:rPr>
      </w:pPr>
    </w:p>
    <w:p>
      <w:pPr>
        <w:ind w:right="180"/>
        <w:spacing w:after="0" w:line="217" w:lineRule="auto"/>
        <w:rPr>
          <w:sz w:val="20"/>
          <w:szCs w:val="20"/>
          <w:color w:val="auto"/>
        </w:rPr>
      </w:pPr>
      <w:r>
        <w:rPr>
          <w:rFonts w:ascii="Arial" w:cs="Arial" w:eastAsia="Arial" w:hAnsi="Arial"/>
          <w:sz w:val="19"/>
          <w:szCs w:val="19"/>
          <w:color w:val="auto"/>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56" w:lineRule="exact"/>
        <w:rPr>
          <w:sz w:val="20"/>
          <w:szCs w:val="20"/>
          <w:color w:val="auto"/>
        </w:rPr>
      </w:pPr>
    </w:p>
    <w:p>
      <w:pPr>
        <w:spacing w:after="0" w:line="221" w:lineRule="auto"/>
        <w:rPr>
          <w:sz w:val="20"/>
          <w:szCs w:val="20"/>
          <w:color w:val="auto"/>
        </w:rPr>
      </w:pPr>
      <w:r>
        <w:rPr>
          <w:rFonts w:ascii="Arial" w:cs="Arial" w:eastAsia="Arial" w:hAnsi="Arial"/>
          <w:sz w:val="19"/>
          <w:szCs w:val="19"/>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55" w:lineRule="exact"/>
        <w:rPr>
          <w:sz w:val="20"/>
          <w:szCs w:val="20"/>
          <w:color w:val="auto"/>
        </w:rPr>
      </w:pPr>
    </w:p>
    <w:p>
      <w:pPr>
        <w:ind w:right="280"/>
        <w:spacing w:after="0" w:line="229" w:lineRule="auto"/>
        <w:rPr>
          <w:sz w:val="20"/>
          <w:szCs w:val="20"/>
          <w:color w:val="auto"/>
        </w:rPr>
      </w:pPr>
      <w:r>
        <w:rPr>
          <w:rFonts w:ascii="Arial" w:cs="Arial" w:eastAsia="Arial" w:hAnsi="Arial"/>
          <w:sz w:val="20"/>
          <w:szCs w:val="20"/>
          <w:color w:val="auto"/>
        </w:rPr>
        <w:t>Furthermore, the Company and/or the Employer are authorized to satisfy any withholding obligations with regard to all Tax-Related Items arising from the vesting or payment of any Award relating to the LTI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32" w:right="339" w:bottom="1440" w:gutter="0" w:footer="0" w:header="0"/>
        </w:sectPr>
      </w:pPr>
    </w:p>
    <w:bookmarkStart w:id="110" w:name="page111"/>
    <w:bookmarkEnd w:id="110"/>
    <w:p>
      <w:pPr>
        <w:ind w:right="20"/>
        <w:spacing w:after="0" w:line="227" w:lineRule="auto"/>
        <w:rPr>
          <w:sz w:val="20"/>
          <w:szCs w:val="20"/>
          <w:color w:val="auto"/>
        </w:rPr>
      </w:pPr>
      <w:r>
        <w:rPr>
          <w:rFonts w:ascii="Arial" w:cs="Arial" w:eastAsia="Arial" w:hAnsi="Arial"/>
          <w:sz w:val="18"/>
          <w:szCs w:val="18"/>
          <w:color w:val="auto"/>
        </w:rPr>
        <w:t>Grant, or sale of shares issued pursuant to the Award, as the case may be, by withholding from the Participant’s wages or other cash compensation paid to the Participant by the Company and/or the Employer. 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 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spacing w:after="0" w:line="155" w:lineRule="exact"/>
        <w:rPr>
          <w:sz w:val="20"/>
          <w:szCs w:val="20"/>
          <w:color w:val="auto"/>
        </w:rPr>
      </w:pPr>
    </w:p>
    <w:p>
      <w:pPr>
        <w:ind w:right="380"/>
        <w:spacing w:after="0" w:line="230" w:lineRule="auto"/>
        <w:rPr>
          <w:sz w:val="20"/>
          <w:szCs w:val="20"/>
          <w:color w:val="auto"/>
        </w:rPr>
      </w:pPr>
      <w:r>
        <w:rPr>
          <w:rFonts w:ascii="Arial" w:cs="Arial" w:eastAsia="Arial" w:hAnsi="Arial"/>
          <w:sz w:val="19"/>
          <w:szCs w:val="19"/>
          <w:color w:val="auto"/>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155" w:lineRule="exact"/>
        <w:rPr>
          <w:sz w:val="20"/>
          <w:szCs w:val="20"/>
          <w:color w:val="auto"/>
        </w:rPr>
      </w:pPr>
    </w:p>
    <w:p>
      <w:pPr>
        <w:spacing w:after="0" w:line="207" w:lineRule="auto"/>
        <w:rPr>
          <w:sz w:val="20"/>
          <w:szCs w:val="20"/>
          <w:color w:val="auto"/>
        </w:rPr>
      </w:pPr>
      <w:r>
        <w:rPr>
          <w:rFonts w:ascii="Arial" w:cs="Arial" w:eastAsia="Arial" w:hAnsi="Arial"/>
          <w:sz w:val="20"/>
          <w:szCs w:val="20"/>
          <w:color w:val="auto"/>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 or, if not refunded, the Participant may be able to seek a refund from the applicable tax authorities. In the event of under-withholding, the Participant may be required to pay any additional Tax-Related Items directly to the applicable tax authority or to the Company and/or the Employer.</w:t>
      </w:r>
    </w:p>
    <w:p>
      <w:pPr>
        <w:spacing w:after="0" w:line="160" w:lineRule="exact"/>
        <w:rPr>
          <w:sz w:val="20"/>
          <w:szCs w:val="20"/>
          <w:color w:val="auto"/>
        </w:rPr>
      </w:pPr>
    </w:p>
    <w:p>
      <w:pPr>
        <w:ind w:right="680" w:firstLine="8"/>
        <w:spacing w:after="0" w:line="229" w:lineRule="auto"/>
        <w:tabs>
          <w:tab w:leader="none" w:pos="648"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Nature of the Grant</w:t>
      </w:r>
      <w:r>
        <w:rPr>
          <w:rFonts w:ascii="Arial" w:cs="Arial" w:eastAsia="Arial" w:hAnsi="Arial"/>
          <w:sz w:val="20"/>
          <w:szCs w:val="20"/>
          <w:color w:val="auto"/>
        </w:rPr>
        <w:t>. By participating in the Plan and in exchange for receiving the LTI Grant, the Participant acknowledges, understands and agrees that:</w:t>
      </w:r>
    </w:p>
    <w:p>
      <w:pPr>
        <w:spacing w:after="0" w:line="155" w:lineRule="exact"/>
        <w:rPr>
          <w:rFonts w:ascii="Arial" w:cs="Arial" w:eastAsia="Arial" w:hAnsi="Arial"/>
          <w:sz w:val="20"/>
          <w:szCs w:val="20"/>
          <w:color w:val="auto"/>
        </w:rPr>
      </w:pPr>
    </w:p>
    <w:p>
      <w:pPr>
        <w:ind w:firstLine="656"/>
        <w:spacing w:after="0" w:line="229" w:lineRule="auto"/>
        <w:tabs>
          <w:tab w:leader="none" w:pos="1286"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55" w:lineRule="exact"/>
        <w:rPr>
          <w:rFonts w:ascii="Arial" w:cs="Arial" w:eastAsia="Arial" w:hAnsi="Arial"/>
          <w:sz w:val="20"/>
          <w:szCs w:val="20"/>
          <w:color w:val="auto"/>
        </w:rPr>
      </w:pPr>
    </w:p>
    <w:p>
      <w:pPr>
        <w:ind w:right="300" w:firstLine="656"/>
        <w:spacing w:after="0" w:line="229" w:lineRule="auto"/>
        <w:tabs>
          <w:tab w:leader="none" w:pos="1284"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LTI Grant is exceptional, voluntary and occasional and does not create any contractual or other right to receive future awards, or benefits in lieu of LTI Grants, even if LTI Grants have been made in the past;</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all decisions with respect to future LTI Grants, if any, will be at the sole discretion of the Committee;</w:t>
      </w:r>
    </w:p>
    <w:p>
      <w:pPr>
        <w:spacing w:after="0" w:line="175" w:lineRule="exact"/>
        <w:rPr>
          <w:rFonts w:ascii="Arial" w:cs="Arial" w:eastAsia="Arial" w:hAnsi="Arial"/>
          <w:sz w:val="20"/>
          <w:szCs w:val="20"/>
          <w:color w:val="auto"/>
        </w:rPr>
      </w:pPr>
    </w:p>
    <w:p>
      <w:pPr>
        <w:ind w:left="1300" w:hanging="644"/>
        <w:spacing w:after="0"/>
        <w:tabs>
          <w:tab w:leader="none" w:pos="13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Participant’s participation in the Plan is voluntary;</w:t>
      </w:r>
    </w:p>
    <w:p>
      <w:pPr>
        <w:spacing w:after="0" w:line="175" w:lineRule="exact"/>
        <w:rPr>
          <w:rFonts w:ascii="Arial" w:cs="Arial" w:eastAsia="Arial" w:hAnsi="Arial"/>
          <w:sz w:val="20"/>
          <w:szCs w:val="20"/>
          <w:color w:val="auto"/>
        </w:rPr>
      </w:pPr>
    </w:p>
    <w:p>
      <w:pPr>
        <w:ind w:firstLine="656"/>
        <w:spacing w:after="0" w:line="229" w:lineRule="auto"/>
        <w:tabs>
          <w:tab w:leader="none" w:pos="1286"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LTI Grant and the shares of Common Stock, and the income and value of same, subject to the LTI Grant are not intended to replace any pension rights or compensation;</w:t>
      </w:r>
    </w:p>
    <w:p>
      <w:pPr>
        <w:spacing w:after="0" w:line="155" w:lineRule="exact"/>
        <w:rPr>
          <w:rFonts w:ascii="Arial" w:cs="Arial" w:eastAsia="Arial" w:hAnsi="Arial"/>
          <w:sz w:val="20"/>
          <w:szCs w:val="20"/>
          <w:color w:val="auto"/>
        </w:rPr>
      </w:pPr>
    </w:p>
    <w:p>
      <w:pPr>
        <w:ind w:right="120" w:firstLine="656"/>
        <w:spacing w:after="0" w:line="213" w:lineRule="auto"/>
        <w:tabs>
          <w:tab w:leader="none" w:pos="1291"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55" w:lineRule="exact"/>
        <w:rPr>
          <w:rFonts w:ascii="Arial" w:cs="Arial" w:eastAsia="Arial" w:hAnsi="Arial"/>
          <w:sz w:val="20"/>
          <w:szCs w:val="20"/>
          <w:color w:val="auto"/>
        </w:rPr>
      </w:pPr>
    </w:p>
    <w:p>
      <w:pPr>
        <w:ind w:left="1300" w:hanging="644"/>
        <w:spacing w:after="0"/>
        <w:tabs>
          <w:tab w:leader="none" w:pos="1300"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future value of the underlying shares of Common Stock is unknown, indeterminable and cannot be predicted;</w:t>
      </w:r>
    </w:p>
    <w:p>
      <w:pPr>
        <w:spacing w:after="0" w:line="186" w:lineRule="exact"/>
        <w:rPr>
          <w:rFonts w:ascii="Arial" w:cs="Arial" w:eastAsia="Arial" w:hAnsi="Arial"/>
          <w:sz w:val="19"/>
          <w:szCs w:val="19"/>
          <w:color w:val="auto"/>
        </w:rPr>
      </w:pPr>
    </w:p>
    <w:p>
      <w:pPr>
        <w:ind w:right="200" w:firstLine="656"/>
        <w:spacing w:after="0" w:line="229" w:lineRule="auto"/>
        <w:tabs>
          <w:tab w:leader="none" w:pos="1284" w:val="left"/>
        </w:tabs>
        <w:numPr>
          <w:ilvl w:val="1"/>
          <w:numId w:val="74"/>
        </w:numPr>
        <w:rPr>
          <w:rFonts w:ascii="Arial" w:cs="Arial" w:eastAsia="Arial" w:hAnsi="Arial"/>
          <w:sz w:val="20"/>
          <w:szCs w:val="20"/>
          <w:color w:val="auto"/>
        </w:rPr>
      </w:pPr>
      <w:r>
        <w:rPr>
          <w:rFonts w:ascii="Arial" w:cs="Arial" w:eastAsia="Arial" w:hAnsi="Arial"/>
          <w:sz w:val="20"/>
          <w:szCs w:val="20"/>
          <w:color w:val="auto"/>
        </w:rPr>
        <w:t>unless otherwise agreed with the Company, the LTI Grant and the shares of Common Stock underlying the LTI Grant, and the income and value of same, are not granted as consideration for,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60"/>
          </w:cols>
          <w:pgMar w:left="320" w:top="1432" w:right="41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in connection with, the service the Participant may provide as a director of any entity of the Mondelēz Group;</w:t>
      </w:r>
    </w:p>
    <w:p>
      <w:pPr>
        <w:spacing w:after="0" w:line="175" w:lineRule="exact"/>
        <w:rPr>
          <w:sz w:val="20"/>
          <w:szCs w:val="20"/>
          <w:color w:val="auto"/>
        </w:rPr>
      </w:pPr>
    </w:p>
    <w:p>
      <w:pPr>
        <w:ind w:right="240" w:firstLine="656"/>
        <w:spacing w:after="0" w:line="229" w:lineRule="auto"/>
        <w:tabs>
          <w:tab w:leader="none" w:pos="1294"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any purpose;</w:t>
      </w:r>
    </w:p>
    <w:p>
      <w:pPr>
        <w:spacing w:after="0" w:line="155" w:lineRule="exact"/>
        <w:rPr>
          <w:rFonts w:ascii="Arial" w:cs="Arial" w:eastAsia="Arial" w:hAnsi="Arial"/>
          <w:sz w:val="20"/>
          <w:szCs w:val="20"/>
          <w:color w:val="auto"/>
        </w:rPr>
      </w:pPr>
    </w:p>
    <w:p>
      <w:pPr>
        <w:ind w:right="80" w:firstLine="656"/>
        <w:spacing w:after="0" w:line="213" w:lineRule="auto"/>
        <w:tabs>
          <w:tab w:leader="none" w:pos="1294" w:val="left"/>
        </w:tabs>
        <w:numPr>
          <w:ilvl w:val="1"/>
          <w:numId w:val="75"/>
        </w:numPr>
        <w:rPr>
          <w:rFonts w:ascii="Arial" w:cs="Arial" w:eastAsia="Arial" w:hAnsi="Arial"/>
          <w:sz w:val="20"/>
          <w:szCs w:val="20"/>
          <w:color w:val="auto"/>
        </w:rPr>
      </w:pPr>
      <w:r>
        <w:rPr>
          <w:rFonts w:ascii="Arial" w:cs="Arial" w:eastAsia="Arial" w:hAnsi="Arial"/>
          <w:sz w:val="20"/>
          <w:szCs w:val="20"/>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spacing w:after="0" w:line="155" w:lineRule="exact"/>
        <w:rPr>
          <w:rFonts w:ascii="Arial" w:cs="Arial" w:eastAsia="Arial" w:hAnsi="Arial"/>
          <w:sz w:val="20"/>
          <w:szCs w:val="20"/>
          <w:color w:val="auto"/>
        </w:rPr>
      </w:pPr>
    </w:p>
    <w:p>
      <w:pPr>
        <w:jc w:val="both"/>
        <w:ind w:right="140" w:firstLine="656"/>
        <w:spacing w:after="0" w:line="213" w:lineRule="auto"/>
        <w:tabs>
          <w:tab w:leader="none" w:pos="1284" w:val="left"/>
        </w:tabs>
        <w:numPr>
          <w:ilvl w:val="1"/>
          <w:numId w:val="75"/>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LTI Grant resulting from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p>
    <w:p>
      <w:pPr>
        <w:spacing w:after="0" w:line="155" w:lineRule="exact"/>
        <w:rPr>
          <w:rFonts w:ascii="Arial" w:cs="Arial" w:eastAsia="Arial" w:hAnsi="Arial"/>
          <w:sz w:val="20"/>
          <w:szCs w:val="20"/>
          <w:color w:val="auto"/>
        </w:rPr>
      </w:pPr>
    </w:p>
    <w:p>
      <w:pPr>
        <w:ind w:left="20" w:right="120" w:hanging="12"/>
        <w:spacing w:after="0" w:line="289" w:lineRule="auto"/>
        <w:tabs>
          <w:tab w:leader="none" w:pos="638"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the Participant’s participation in the Plan.</w:t>
      </w:r>
    </w:p>
    <w:p>
      <w:pPr>
        <w:spacing w:after="0" w:line="118" w:lineRule="exact"/>
        <w:rPr>
          <w:sz w:val="20"/>
          <w:szCs w:val="20"/>
          <w:color w:val="auto"/>
        </w:rPr>
      </w:pPr>
    </w:p>
    <w:p>
      <w:pPr>
        <w:spacing w:after="0" w:line="218" w:lineRule="auto"/>
        <w:rPr>
          <w:sz w:val="20"/>
          <w:szCs w:val="20"/>
          <w:color w:val="auto"/>
        </w:rPr>
      </w:pPr>
      <w:r>
        <w:rPr>
          <w:rFonts w:ascii="Arial" w:cs="Arial" w:eastAsia="Arial" w:hAnsi="Arial"/>
          <w:sz w:val="19"/>
          <w:szCs w:val="19"/>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w:t>
      </w:r>
    </w:p>
    <w:p>
      <w:pPr>
        <w:spacing w:after="0" w:line="15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32" w:right="339" w:bottom="1440" w:gutter="0" w:footer="0" w:header="0"/>
        </w:sectPr>
      </w:pPr>
    </w:p>
    <w:bookmarkStart w:id="112" w:name="page113"/>
    <w:bookmarkEnd w:id="112"/>
    <w:p>
      <w:pPr>
        <w:ind w:right="120"/>
        <w:spacing w:after="0" w:line="231" w:lineRule="auto"/>
        <w:rPr>
          <w:sz w:val="20"/>
          <w:szCs w:val="20"/>
          <w:color w:val="auto"/>
        </w:rPr>
      </w:pPr>
      <w:r>
        <w:rPr>
          <w:rFonts w:ascii="Arial" w:cs="Arial" w:eastAsia="Arial" w:hAnsi="Arial"/>
          <w:sz w:val="18"/>
          <w:szCs w:val="18"/>
          <w:b w:val="1"/>
          <w:bCs w:val="1"/>
          <w:i w:val="1"/>
          <w:iCs w:val="1"/>
          <w:color w:val="auto"/>
        </w:rPr>
        <w:t>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155"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b w:val="1"/>
          <w:bCs w:val="1"/>
          <w:i w:val="1"/>
          <w:iCs w:val="1"/>
          <w:color w:val="auto"/>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spacing w:after="0" w:line="156" w:lineRule="exact"/>
        <w:rPr>
          <w:sz w:val="20"/>
          <w:szCs w:val="20"/>
          <w:color w:val="auto"/>
        </w:rPr>
      </w:pPr>
    </w:p>
    <w:p>
      <w:pPr>
        <w:ind w:right="20" w:firstLine="8"/>
        <w:spacing w:after="0" w:line="210" w:lineRule="auto"/>
        <w:tabs>
          <w:tab w:leader="none" w:pos="63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Nontransferability of LTI Grant</w:t>
      </w:r>
      <w:r>
        <w:rPr>
          <w:rFonts w:ascii="Arial" w:cs="Arial" w:eastAsia="Arial" w:hAnsi="Arial"/>
          <w:sz w:val="20"/>
          <w:szCs w:val="20"/>
          <w:color w:val="auto"/>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54" w:lineRule="exact"/>
        <w:rPr>
          <w:rFonts w:ascii="Arial" w:cs="Arial" w:eastAsia="Arial" w:hAnsi="Arial"/>
          <w:sz w:val="20"/>
          <w:szCs w:val="20"/>
          <w:color w:val="auto"/>
        </w:rPr>
      </w:pPr>
    </w:p>
    <w:p>
      <w:pPr>
        <w:ind w:firstLine="8"/>
        <w:spacing w:after="0" w:line="228" w:lineRule="auto"/>
        <w:tabs>
          <w:tab w:leader="none" w:pos="63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w:t>
      </w:r>
    </w:p>
    <w:p>
      <w:pPr>
        <w:spacing w:after="0" w:line="154" w:lineRule="exact"/>
        <w:rPr>
          <w:rFonts w:ascii="Arial" w:cs="Arial" w:eastAsia="Arial" w:hAnsi="Arial"/>
          <w:sz w:val="18"/>
          <w:szCs w:val="18"/>
          <w:color w:val="auto"/>
        </w:rPr>
      </w:pPr>
    </w:p>
    <w:p>
      <w:pPr>
        <w:ind w:right="140" w:firstLine="8"/>
        <w:spacing w:after="0" w:line="218" w:lineRule="auto"/>
        <w:tabs>
          <w:tab w:leader="none" w:pos="639"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spacing w:after="0" w:line="156" w:lineRule="exact"/>
        <w:rPr>
          <w:rFonts w:ascii="Arial" w:cs="Arial" w:eastAsia="Arial" w:hAnsi="Arial"/>
          <w:sz w:val="20"/>
          <w:szCs w:val="20"/>
          <w:color w:val="auto"/>
        </w:rPr>
      </w:pPr>
    </w:p>
    <w:p>
      <w:pPr>
        <w:ind w:firstLine="8"/>
        <w:spacing w:after="0" w:line="213" w:lineRule="auto"/>
        <w:tabs>
          <w:tab w:leader="none" w:pos="639"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EMPLOYMENT</w:t>
      </w:r>
      <w:r>
        <w:rPr>
          <w:rFonts w:ascii="Arial" w:cs="Arial" w:eastAsia="Arial" w:hAnsi="Arial"/>
          <w:sz w:val="19"/>
          <w:szCs w:val="19"/>
          <w:color w:val="auto"/>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1432" w:right="359" w:bottom="1440" w:gutter="0" w:footer="0" w:header="0"/>
        </w:sectPr>
      </w:pPr>
    </w:p>
    <w:bookmarkStart w:id="113" w:name="page114"/>
    <w:bookmarkEnd w:id="113"/>
    <w:p>
      <w:pPr>
        <w:ind w:right="360"/>
        <w:spacing w:after="0" w:line="229" w:lineRule="auto"/>
        <w:rPr>
          <w:sz w:val="20"/>
          <w:szCs w:val="20"/>
          <w:color w:val="auto"/>
        </w:rPr>
      </w:pPr>
      <w:r>
        <w:rPr>
          <w:rFonts w:ascii="Arial" w:cs="Arial" w:eastAsia="Arial" w:hAnsi="Arial"/>
          <w:sz w:val="20"/>
          <w:szCs w:val="20"/>
          <w:color w:val="auto"/>
        </w:rPr>
        <w:t>THE PARTICIPANT RESIDES OR BE INTERPRETED AS FORMING AN EMPLOYMENT OR SERVICE CONTRACT WITH THE EMPLOYER.</w:t>
      </w:r>
    </w:p>
    <w:p>
      <w:pPr>
        <w:spacing w:after="0" w:line="155" w:lineRule="exact"/>
        <w:rPr>
          <w:sz w:val="20"/>
          <w:szCs w:val="20"/>
          <w:color w:val="auto"/>
        </w:rPr>
      </w:pPr>
    </w:p>
    <w:p>
      <w:pPr>
        <w:ind w:firstLine="8"/>
        <w:spacing w:after="0" w:line="213" w:lineRule="auto"/>
        <w:tabs>
          <w:tab w:leader="none" w:pos="639"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62" w:lineRule="exact"/>
        <w:rPr>
          <w:rFonts w:ascii="Arial" w:cs="Arial" w:eastAsia="Arial" w:hAnsi="Arial"/>
          <w:sz w:val="19"/>
          <w:szCs w:val="19"/>
          <w:color w:val="auto"/>
        </w:rPr>
      </w:pPr>
    </w:p>
    <w:p>
      <w:pPr>
        <w:ind w:right="160" w:firstLine="8"/>
        <w:spacing w:after="0" w:line="231" w:lineRule="auto"/>
        <w:tabs>
          <w:tab w:leader="none" w:pos="63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54" w:lineRule="exact"/>
        <w:rPr>
          <w:rFonts w:ascii="Arial" w:cs="Arial" w:eastAsia="Arial" w:hAnsi="Arial"/>
          <w:sz w:val="18"/>
          <w:szCs w:val="18"/>
          <w:color w:val="auto"/>
        </w:rPr>
      </w:pPr>
    </w:p>
    <w:p>
      <w:pPr>
        <w:ind w:right="40" w:firstLine="8"/>
        <w:spacing w:after="0" w:line="228" w:lineRule="auto"/>
        <w:tabs>
          <w:tab w:leader="none" w:pos="63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spacing w:after="0" w:line="154" w:lineRule="exact"/>
        <w:rPr>
          <w:rFonts w:ascii="Arial" w:cs="Arial" w:eastAsia="Arial" w:hAnsi="Arial"/>
          <w:sz w:val="18"/>
          <w:szCs w:val="18"/>
          <w:color w:val="auto"/>
        </w:rPr>
      </w:pPr>
    </w:p>
    <w:p>
      <w:pPr>
        <w:ind w:right="40" w:firstLine="8"/>
        <w:spacing w:after="0" w:line="229" w:lineRule="auto"/>
        <w:tabs>
          <w:tab w:leader="none" w:pos="639"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captions used in the Notice and this Agreement are inserted for convenience and shall not be deemed a part of the LTI Grant for construction or interpretation.</w:t>
      </w:r>
    </w:p>
    <w:p>
      <w:pPr>
        <w:spacing w:after="0" w:line="155" w:lineRule="exact"/>
        <w:rPr>
          <w:rFonts w:ascii="Arial" w:cs="Arial" w:eastAsia="Arial" w:hAnsi="Arial"/>
          <w:sz w:val="20"/>
          <w:szCs w:val="20"/>
          <w:color w:val="auto"/>
        </w:rPr>
      </w:pPr>
    </w:p>
    <w:p>
      <w:pPr>
        <w:ind w:right="20" w:firstLine="8"/>
        <w:spacing w:after="0" w:line="229" w:lineRule="auto"/>
        <w:tabs>
          <w:tab w:leader="none" w:pos="63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spacing w:after="0" w:line="156" w:lineRule="exact"/>
        <w:rPr>
          <w:rFonts w:ascii="Arial" w:cs="Arial" w:eastAsia="Arial" w:hAnsi="Arial"/>
          <w:sz w:val="18"/>
          <w:szCs w:val="18"/>
          <w:color w:val="auto"/>
        </w:rPr>
      </w:pPr>
    </w:p>
    <w:p>
      <w:pPr>
        <w:ind w:right="60" w:firstLine="8"/>
        <w:spacing w:after="0" w:line="244" w:lineRule="auto"/>
        <w:tabs>
          <w:tab w:leader="none" w:pos="639"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20" w:top="1432" w:right="359" w:bottom="1440" w:gutter="0" w:footer="0" w:header="0"/>
        </w:sectPr>
      </w:pPr>
    </w:p>
    <w:bookmarkStart w:id="114" w:name="page115"/>
    <w:bookmarkEnd w:id="114"/>
    <w:p>
      <w:pPr>
        <w:ind w:right="120" w:firstLine="8"/>
        <w:spacing w:after="0" w:line="213" w:lineRule="auto"/>
        <w:tabs>
          <w:tab w:leader="none" w:pos="639"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155" w:lineRule="exact"/>
        <w:rPr>
          <w:rFonts w:ascii="Arial" w:cs="Arial" w:eastAsia="Arial" w:hAnsi="Arial"/>
          <w:sz w:val="20"/>
          <w:szCs w:val="20"/>
          <w:color w:val="auto"/>
        </w:rPr>
      </w:pPr>
    </w:p>
    <w:p>
      <w:pPr>
        <w:ind w:right="40" w:firstLine="8"/>
        <w:spacing w:after="0" w:line="215" w:lineRule="auto"/>
        <w:tabs>
          <w:tab w:leader="none" w:pos="63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This LTI Grant is intended to be exempt from, or otherwise comply with, Section 409A of the Code and shall be interpreted, operated and administered in a manner consistent with such intent. The Company reserves the right, to amend or modify this Agreement at any time, without the consent of the Participant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55"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Notwithstanding anything to the contrary in the Agreement, if the Award is considered nonqualified deferred compensation subject to Section 409A of the Code (“Deferred Compensation”) and is settled on or on a date that is by reference to the Participant’s “separation from service” and the Participant is a “specified employee” (each within the meaning of Section 409A of the Code and each determined by the Company it its sole discretion) on the date the Participant experiences a separation from service, then the Award (or applicable portion thereof) shall be settled on the first business day of the seventh month following the Participant’s separation from service, or, if earlier, on the date of the Participant’s death, to the extent such delayed payment is required in order to avoid a prohibited distribution under Section 409A of the Code.</w:t>
      </w:r>
    </w:p>
    <w:p>
      <w:pPr>
        <w:spacing w:after="0" w:line="140" w:lineRule="exact"/>
        <w:rPr>
          <w:sz w:val="20"/>
          <w:szCs w:val="20"/>
          <w:color w:val="auto"/>
        </w:rPr>
      </w:pPr>
    </w:p>
    <w:p>
      <w:pPr>
        <w:ind w:right="100" w:firstLine="8"/>
        <w:spacing w:after="0" w:line="236" w:lineRule="auto"/>
        <w:tabs>
          <w:tab w:leader="none" w:pos="639"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Advice Regarding LTI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spacing w:after="0" w:line="157" w:lineRule="exact"/>
        <w:rPr>
          <w:rFonts w:ascii="Arial" w:cs="Arial" w:eastAsia="Arial" w:hAnsi="Arial"/>
          <w:sz w:val="18"/>
          <w:szCs w:val="18"/>
          <w:color w:val="auto"/>
        </w:rPr>
      </w:pPr>
    </w:p>
    <w:p>
      <w:pPr>
        <w:ind w:right="260" w:firstLine="8"/>
        <w:spacing w:after="0" w:line="224" w:lineRule="auto"/>
        <w:tabs>
          <w:tab w:leader="none" w:pos="63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56" w:lineRule="exact"/>
        <w:rPr>
          <w:rFonts w:ascii="Arial" w:cs="Arial" w:eastAsia="Arial" w:hAnsi="Arial"/>
          <w:sz w:val="19"/>
          <w:szCs w:val="19"/>
          <w:color w:val="auto"/>
        </w:rPr>
      </w:pPr>
    </w:p>
    <w:p>
      <w:pPr>
        <w:ind w:right="100" w:firstLine="8"/>
        <w:spacing w:after="0" w:line="210" w:lineRule="auto"/>
        <w:tabs>
          <w:tab w:leader="none" w:pos="639"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54" w:lineRule="exact"/>
        <w:rPr>
          <w:rFonts w:ascii="Arial" w:cs="Arial" w:eastAsia="Arial" w:hAnsi="Arial"/>
          <w:sz w:val="20"/>
          <w:szCs w:val="20"/>
          <w:color w:val="auto"/>
        </w:rPr>
      </w:pPr>
    </w:p>
    <w:p>
      <w:pPr>
        <w:ind w:right="140" w:firstLine="8"/>
        <w:spacing w:after="0" w:line="213" w:lineRule="auto"/>
        <w:tabs>
          <w:tab w:leader="none" w:pos="639"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55" w:lineRule="exact"/>
        <w:rPr>
          <w:rFonts w:ascii="Arial" w:cs="Arial" w:eastAsia="Arial" w:hAnsi="Arial"/>
          <w:sz w:val="20"/>
          <w:szCs w:val="20"/>
          <w:color w:val="auto"/>
        </w:rPr>
      </w:pPr>
    </w:p>
    <w:p>
      <w:pPr>
        <w:ind w:right="20" w:firstLine="8"/>
        <w:spacing w:after="0" w:line="229" w:lineRule="auto"/>
        <w:tabs>
          <w:tab w:leader="none" w:pos="639"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Participant’s participation in the Plan or on the LTI Grant and on any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320" w:top="1432" w:right="359" w:bottom="1440" w:gutter="0" w:footer="0" w:header="0"/>
        </w:sectPr>
      </w:pPr>
    </w:p>
    <w:bookmarkStart w:id="115" w:name="page116"/>
    <w:bookmarkEnd w:id="115"/>
    <w:p>
      <w:pPr>
        <w:ind w:right="40"/>
        <w:spacing w:after="0" w:line="269" w:lineRule="auto"/>
        <w:rPr>
          <w:sz w:val="20"/>
          <w:szCs w:val="20"/>
          <w:color w:val="auto"/>
        </w:rPr>
      </w:pPr>
      <w:r>
        <w:rPr>
          <w:rFonts w:ascii="Arial" w:cs="Arial" w:eastAsia="Arial" w:hAnsi="Arial"/>
          <w:sz w:val="18"/>
          <w:szCs w:val="18"/>
          <w:color w:val="auto"/>
        </w:rPr>
        <w:t>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130" w:lineRule="exact"/>
        <w:rPr>
          <w:sz w:val="20"/>
          <w:szCs w:val="20"/>
          <w:color w:val="auto"/>
        </w:rPr>
      </w:pPr>
    </w:p>
    <w:p>
      <w:pPr>
        <w:ind w:right="20" w:firstLine="8"/>
        <w:spacing w:after="0" w:line="228" w:lineRule="auto"/>
        <w:tabs>
          <w:tab w:leader="none" w:pos="639"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Participant may be subject to insider trading and/or market abuse laws, which affect the Participant’s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spacing w:after="0" w:line="157" w:lineRule="exact"/>
        <w:rPr>
          <w:rFonts w:ascii="Arial" w:cs="Arial" w:eastAsia="Arial" w:hAnsi="Arial"/>
          <w:sz w:val="18"/>
          <w:szCs w:val="18"/>
          <w:color w:val="auto"/>
        </w:rPr>
      </w:pPr>
    </w:p>
    <w:p>
      <w:pPr>
        <w:ind w:left="640" w:hanging="63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Exchange Control, Tax and Foreign Asset/Account Reporting Requirements</w:t>
      </w:r>
      <w:r>
        <w:rPr>
          <w:rFonts w:ascii="Arial" w:cs="Arial" w:eastAsia="Arial" w:hAnsi="Arial"/>
          <w:sz w:val="18"/>
          <w:szCs w:val="18"/>
          <w:color w:val="auto"/>
        </w:rPr>
        <w:t>. The Participant acknowledges that there may be</w:t>
      </w:r>
    </w:p>
    <w:p>
      <w:pPr>
        <w:spacing w:after="0" w:line="213" w:lineRule="auto"/>
        <w:rPr>
          <w:rFonts w:ascii="Arial" w:cs="Arial" w:eastAsia="Arial" w:hAnsi="Arial"/>
          <w:sz w:val="18"/>
          <w:szCs w:val="18"/>
          <w:color w:val="auto"/>
        </w:rPr>
      </w:pPr>
      <w:r>
        <w:rPr>
          <w:rFonts w:ascii="Arial" w:cs="Arial" w:eastAsia="Arial" w:hAnsi="Arial"/>
          <w:sz w:val="19"/>
          <w:szCs w:val="19"/>
          <w:color w:val="auto"/>
        </w:rPr>
        <w:t>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The Participant acknowledges that it is the Participant’s responsibility to be compliant with such regulations, and the Participant understands and agrees that the Participant should consult his or her personal legal advisor for any details.</w:t>
      </w:r>
    </w:p>
    <w:p>
      <w:pPr>
        <w:spacing w:after="0" w:line="160" w:lineRule="exact"/>
        <w:rPr>
          <w:rFonts w:ascii="Arial" w:cs="Arial" w:eastAsia="Arial" w:hAnsi="Arial"/>
          <w:sz w:val="18"/>
          <w:szCs w:val="18"/>
          <w:color w:val="auto"/>
        </w:rPr>
      </w:pPr>
    </w:p>
    <w:p>
      <w:pPr>
        <w:ind w:right="380" w:firstLine="8"/>
        <w:spacing w:after="0" w:line="218" w:lineRule="auto"/>
        <w:tabs>
          <w:tab w:leader="none" w:pos="63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320" w:top="1432" w:right="399" w:bottom="1440" w:gutter="0" w:footer="0" w:header="0"/>
        </w:sectPr>
      </w:pPr>
    </w:p>
    <w:bookmarkStart w:id="116" w:name="page117"/>
    <w:bookmarkEnd w:id="116"/>
    <w:p>
      <w:pPr>
        <w:jc w:val="center"/>
        <w:ind w:right="-279"/>
        <w:spacing w:after="0"/>
        <w:rPr>
          <w:sz w:val="20"/>
          <w:szCs w:val="20"/>
          <w:color w:val="auto"/>
        </w:rPr>
      </w:pPr>
      <w:r>
        <w:rPr>
          <w:rFonts w:ascii="Arial" w:cs="Arial" w:eastAsia="Arial" w:hAnsi="Arial"/>
          <w:sz w:val="20"/>
          <w:szCs w:val="20"/>
          <w:color w:val="auto"/>
        </w:rPr>
        <w:t>***</w:t>
      </w:r>
    </w:p>
    <w:p>
      <w:pPr>
        <w:spacing w:after="0" w:line="196" w:lineRule="exact"/>
        <w:rPr>
          <w:sz w:val="20"/>
          <w:szCs w:val="20"/>
          <w:color w:val="auto"/>
        </w:rPr>
      </w:pPr>
    </w:p>
    <w:p>
      <w:pPr>
        <w:ind w:firstLine="648"/>
        <w:spacing w:after="0" w:line="214" w:lineRule="auto"/>
        <w:rPr>
          <w:sz w:val="20"/>
          <w:szCs w:val="20"/>
          <w:color w:val="auto"/>
        </w:rPr>
      </w:pPr>
      <w:r>
        <w:rPr>
          <w:rFonts w:ascii="Arial" w:cs="Arial" w:eastAsia="Arial" w:hAnsi="Arial"/>
          <w:sz w:val="20"/>
          <w:szCs w:val="20"/>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date of the Notice.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MONDELĒZ INTERNATIONAL, INC.</w:t>
      </w:r>
    </w:p>
    <w:p>
      <w:pPr>
        <w:spacing w:after="0" w:line="1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 Ellen M. Smith</w:t>
      </w:r>
    </w:p>
    <w:p>
      <w:pPr>
        <w:spacing w:after="0" w:line="15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Ellen M. Smith</w:t>
      </w:r>
    </w:p>
    <w:p>
      <w:pPr>
        <w:ind w:left="4220"/>
        <w:spacing w:after="0"/>
        <w:rPr>
          <w:sz w:val="20"/>
          <w:szCs w:val="20"/>
          <w:color w:val="auto"/>
        </w:rPr>
      </w:pPr>
      <w:r>
        <w:rPr>
          <w:rFonts w:ascii="Arial" w:cs="Arial" w:eastAsia="Arial" w:hAnsi="Arial"/>
          <w:sz w:val="20"/>
          <w:szCs w:val="20"/>
          <w:color w:val="auto"/>
        </w:rPr>
        <w:t>SVP &amp; Chief Counsel, Chief Compliance 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320" w:top="1432" w:right="61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16" w:lineRule="exact"/>
        <w:rPr>
          <w:sz w:val="20"/>
          <w:szCs w:val="20"/>
          <w:color w:val="auto"/>
        </w:rPr>
      </w:pPr>
    </w:p>
    <w:p>
      <w:pPr>
        <w:jc w:val="center"/>
        <w:ind w:left="360" w:right="2380"/>
        <w:spacing w:after="0" w:line="220"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ADDITIONAL TERMS AND CONDITIONS OF THE</w:t>
      </w:r>
    </w:p>
    <w:p>
      <w:pPr>
        <w:jc w:val="center"/>
        <w:ind w:right="-39"/>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159" w:lineRule="exact"/>
        <w:rPr>
          <w:sz w:val="20"/>
          <w:szCs w:val="20"/>
          <w:color w:val="auto"/>
        </w:rPr>
      </w:pPr>
    </w:p>
    <w:p>
      <w:pPr>
        <w:ind w:right="240"/>
        <w:spacing w:after="0" w:line="207" w:lineRule="auto"/>
        <w:rPr>
          <w:sz w:val="20"/>
          <w:szCs w:val="20"/>
          <w:color w:val="auto"/>
        </w:rPr>
      </w:pPr>
      <w:r>
        <w:rPr>
          <w:rFonts w:ascii="Arial" w:cs="Arial" w:eastAsia="Arial" w:hAnsi="Arial"/>
          <w:sz w:val="20"/>
          <w:szCs w:val="20"/>
          <w:color w:val="auto"/>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spacing w:after="0" w:line="200" w:lineRule="exact"/>
        <w:rPr>
          <w:sz w:val="20"/>
          <w:szCs w:val="20"/>
          <w:color w:val="auto"/>
        </w:rPr>
      </w:pPr>
    </w:p>
    <w:p>
      <w:pPr>
        <w:ind w:right="20"/>
        <w:spacing w:after="0" w:line="207"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2022.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spacing w:after="0" w:line="24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spacing w:after="0" w:line="156" w:lineRule="exact"/>
        <w:rPr>
          <w:sz w:val="20"/>
          <w:szCs w:val="20"/>
          <w:color w:val="auto"/>
        </w:rPr>
      </w:pPr>
    </w:p>
    <w:p>
      <w:pPr>
        <w:ind w:right="380"/>
        <w:spacing w:after="0" w:line="218" w:lineRule="auto"/>
        <w:rPr>
          <w:sz w:val="20"/>
          <w:szCs w:val="20"/>
          <w:color w:val="auto"/>
        </w:rPr>
      </w:pPr>
      <w:r>
        <w:rPr>
          <w:rFonts w:ascii="Arial" w:cs="Arial" w:eastAsia="Arial" w:hAnsi="Arial"/>
          <w:sz w:val="20"/>
          <w:szCs w:val="20"/>
          <w:color w:val="auto"/>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320" w:top="1426" w:right="37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b w:val="1"/>
          <w:bCs w:val="1"/>
          <w:u w:val="single" w:color="auto"/>
          <w:color w:val="auto"/>
        </w:rPr>
        <w:t>EUROPEAN UNION / EUROPEAN ECONOMIC AREA, SWITZERLAND AND THE UNITED KINGDOM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10 of the Agreement:</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w:t>
      </w:r>
    </w:p>
    <w:p>
      <w:pPr>
        <w:spacing w:after="0" w:line="156"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u w:val="single" w:color="auto"/>
          <w:color w:val="auto"/>
        </w:rPr>
        <w:t>Data Collection and Usage</w:t>
      </w:r>
      <w:r>
        <w:rPr>
          <w:rFonts w:ascii="Arial" w:cs="Arial" w:eastAsia="Arial" w:hAnsi="Arial"/>
          <w:sz w:val="16"/>
          <w:szCs w:val="16"/>
          <w:color w:val="auto"/>
        </w:rPr>
        <w:t>.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spacing w:after="0" w:line="134"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UBS, PricewaterhouseCoopers LLP or KPMG LLP with such agreement being a condition to the Participant’s ability to participate in the Plan.</w:t>
      </w:r>
    </w:p>
    <w:p>
      <w:pPr>
        <w:spacing w:after="0" w:line="166" w:lineRule="exact"/>
        <w:rPr>
          <w:sz w:val="20"/>
          <w:szCs w:val="20"/>
          <w:color w:val="auto"/>
        </w:rPr>
      </w:pPr>
    </w:p>
    <w:p>
      <w:pPr>
        <w:ind w:right="380"/>
        <w:spacing w:after="0" w:line="242" w:lineRule="auto"/>
        <w:rPr>
          <w:sz w:val="20"/>
          <w:szCs w:val="20"/>
          <w:color w:val="auto"/>
        </w:rPr>
      </w:pPr>
      <w:r>
        <w:rPr>
          <w:rFonts w:ascii="Arial" w:cs="Arial" w:eastAsia="Arial" w:hAnsi="Arial"/>
          <w:sz w:val="19"/>
          <w:szCs w:val="19"/>
          <w:color w:val="auto"/>
        </w:rPr>
        <w:t xml:space="preserve">The Participant may request a copy of the safeguards used to protect his or her Personal Data or the names and addresses of any potential recipients of Personal Data by contacting the Company at: </w:t>
      </w:r>
      <w:r>
        <w:rPr>
          <w:rFonts w:ascii="Arial" w:cs="Arial" w:eastAsia="Arial" w:hAnsi="Arial"/>
          <w:sz w:val="19"/>
          <w:szCs w:val="19"/>
          <w:u w:val="single" w:color="auto"/>
          <w:color w:val="auto"/>
        </w:rPr>
        <w:t>DataProtectionOfficeMEU@mdlz.com</w:t>
      </w:r>
      <w:r>
        <w:rPr>
          <w:rFonts w:ascii="Arial" w:cs="Arial" w:eastAsia="Arial" w:hAnsi="Arial"/>
          <w:sz w:val="19"/>
          <w:szCs w:val="19"/>
          <w:color w:val="auto"/>
        </w:rPr>
        <w:t>.</w:t>
      </w:r>
    </w:p>
    <w:p>
      <w:pPr>
        <w:spacing w:after="0" w:line="15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99" w:right="33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color w:val="auto"/>
        </w:rPr>
        <w:t>be to satisfy legal or regulatory obligations and the Company’s legal basis would be relevant laws or regulations.</w:t>
      </w:r>
    </w:p>
    <w:p>
      <w:pPr>
        <w:spacing w:after="0" w:line="175" w:lineRule="exact"/>
        <w:rPr>
          <w:sz w:val="20"/>
          <w:szCs w:val="20"/>
          <w:color w:val="auto"/>
        </w:rPr>
      </w:pPr>
    </w:p>
    <w:p>
      <w:pPr>
        <w:spacing w:after="0" w:line="213" w:lineRule="auto"/>
        <w:rPr>
          <w:sz w:val="20"/>
          <w:szCs w:val="20"/>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Arial" w:cs="Arial" w:eastAsia="Arial" w:hAnsi="Arial"/>
          <w:sz w:val="19"/>
          <w:szCs w:val="19"/>
          <w:u w:val="single" w:color="auto"/>
          <w:color w:val="auto"/>
        </w:rPr>
        <w:t>DataProtectionOfficeMEU@mdlz.com</w:t>
      </w:r>
      <w:r>
        <w:rPr>
          <w:rFonts w:ascii="Arial" w:cs="Arial" w:eastAsia="Arial" w:hAnsi="Arial"/>
          <w:sz w:val="19"/>
          <w:szCs w:val="19"/>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80"/>
        <w:spacing w:after="0" w:line="232"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Participants.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9 of the Agreement:</w:t>
      </w:r>
    </w:p>
    <w:p>
      <w:pPr>
        <w:spacing w:after="0" w:line="181" w:lineRule="exact"/>
        <w:rPr>
          <w:sz w:val="20"/>
          <w:szCs w:val="20"/>
          <w:color w:val="auto"/>
        </w:rPr>
      </w:pPr>
    </w:p>
    <w:p>
      <w:pPr>
        <w:ind w:right="40"/>
        <w:spacing w:after="0" w:line="210" w:lineRule="auto"/>
        <w:rPr>
          <w:sz w:val="20"/>
          <w:szCs w:val="20"/>
          <w:color w:val="auto"/>
        </w:rPr>
      </w:pPr>
      <w:r>
        <w:rPr>
          <w:rFonts w:ascii="Arial" w:cs="Arial" w:eastAsia="Arial" w:hAnsi="Arial"/>
          <w:sz w:val="20"/>
          <w:szCs w:val="20"/>
          <w:color w:val="auto"/>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55" w:lineRule="exact"/>
        <w:rPr>
          <w:sz w:val="20"/>
          <w:szCs w:val="20"/>
          <w:color w:val="auto"/>
        </w:rPr>
      </w:pPr>
    </w:p>
    <w:p>
      <w:pPr>
        <w:ind w:right="500"/>
        <w:spacing w:after="0" w:line="229"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Participant acknowledges and agrees that such benefits shall not accrue more frequently than on each vesting date.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LTI Grant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149" w:lineRule="exact"/>
        <w:rPr>
          <w:sz w:val="20"/>
          <w:szCs w:val="20"/>
          <w:color w:val="auto"/>
        </w:rPr>
      </w:pPr>
    </w:p>
    <w:p>
      <w:pPr>
        <w:ind w:right="8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spacing w:after="0" w:line="152" w:lineRule="exact"/>
        <w:rPr>
          <w:sz w:val="20"/>
          <w:szCs w:val="20"/>
          <w:color w:val="auto"/>
        </w:rPr>
      </w:pPr>
    </w:p>
    <w:p>
      <w:pPr>
        <w:ind w:right="400"/>
        <w:spacing w:after="0" w:line="232"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must report holdings of any equity interest in a foreign company (</w:t>
      </w:r>
      <w:r>
        <w:rPr>
          <w:rFonts w:ascii="Arial" w:cs="Arial" w:eastAsia="Arial" w:hAnsi="Arial"/>
          <w:sz w:val="20"/>
          <w:szCs w:val="20"/>
          <w:i w:val="1"/>
          <w:iCs w:val="1"/>
          <w:color w:val="auto"/>
        </w:rPr>
        <w:t>e.g.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acquired under the Plan) on his or her annual tax return each year.</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05" w:right="359" w:bottom="1440" w:gutter="0" w:footer="0" w:header="0"/>
        </w:sectPr>
      </w:pPr>
    </w:p>
    <w:bookmarkStart w:id="120" w:name="page121"/>
    <w:bookmarkEnd w:id="120"/>
    <w:p>
      <w:pPr>
        <w:ind w:right="500"/>
        <w:spacing w:after="0" w:line="232"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applies (subject to the conditions in the Act).</w:t>
      </w:r>
    </w:p>
    <w:p>
      <w:pPr>
        <w:spacing w:after="0" w:line="149" w:lineRule="exact"/>
        <w:rPr>
          <w:sz w:val="20"/>
          <w:szCs w:val="20"/>
          <w:color w:val="auto"/>
        </w:rPr>
      </w:pPr>
    </w:p>
    <w:p>
      <w:pPr>
        <w:ind w:right="460"/>
        <w:spacing w:after="0" w:line="220"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Participant’s right to participate in the Plan and receive the LTI Grant under the Plan is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as stated in the offer document, the Plan and the Agreement. By accepting the LTI Grant, the Participant acknowledges and confirms that the Participant has received these documents.</w:t>
      </w:r>
    </w:p>
    <w:p>
      <w:pPr>
        <w:spacing w:after="0" w:line="151" w:lineRule="exact"/>
        <w:rPr>
          <w:sz w:val="20"/>
          <w:szCs w:val="20"/>
          <w:color w:val="auto"/>
        </w:rPr>
      </w:pPr>
    </w:p>
    <w:p>
      <w:pPr>
        <w:ind w:right="140"/>
        <w:spacing w:after="0" w:line="222" w:lineRule="auto"/>
        <w:rPr>
          <w:sz w:val="20"/>
          <w:szCs w:val="20"/>
          <w:color w:val="auto"/>
        </w:rPr>
      </w:pPr>
      <w:r>
        <w:rPr>
          <w:rFonts w:ascii="Arial" w:cs="Arial" w:eastAsia="Arial" w:hAnsi="Arial"/>
          <w:sz w:val="19"/>
          <w:szCs w:val="19"/>
          <w:b w:val="1"/>
          <w:bCs w:val="1"/>
          <w:color w:val="auto"/>
        </w:rPr>
        <w:t xml:space="preserve">No payment constituting breach of law in Australia. </w:t>
      </w:r>
      <w:r>
        <w:rPr>
          <w:rFonts w:ascii="Arial" w:cs="Arial" w:eastAsia="Arial" w:hAnsi="Arial"/>
          <w:sz w:val="19"/>
          <w:szCs w:val="19"/>
          <w:color w:val="auto"/>
        </w:rPr>
        <w:t>Notwithstanding anything else in the Plan or the Agreement, the Participant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40"/>
        <w:spacing w:after="0" w:line="23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Participant’s behalf, otherwise the Participant will be responsible for complying with any exchange control reporting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Participant holds shares of Common Stock acquired under the Plan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proceeds from the sale of shares of Common Stock) outside Austria, the Participant may be subject to reporting obligations to the Austrian National Bank.</w:t>
      </w:r>
    </w:p>
    <w:p>
      <w:pPr>
        <w:spacing w:after="0" w:line="151" w:lineRule="exact"/>
        <w:rPr>
          <w:sz w:val="20"/>
          <w:szCs w:val="20"/>
          <w:color w:val="auto"/>
        </w:rPr>
      </w:pPr>
    </w:p>
    <w:p>
      <w:pPr>
        <w:ind w:right="40"/>
        <w:spacing w:after="0" w:line="22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 separate reporting requirement applies if the Participant sells shares of Common Stock acquired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or receives a cash dividend paid on such shares of Common Stock. In that case, there may be exchange control obligations if the cash proceeds are held outside of Austria. If the transaction volume of all cash accounts abroad meets or exceeds a specific threshold,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delivered pursuant to the vesting of the LTI Grant shall be deposited into a brokerage account in the United States. In no event will shares of Common Stock be issued or delivered in Bahrain. The issuance of shares of Common Stock pursuant to the LTI Grant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LTI Grant or shares of Common Stock in Bahrain, promote these shares of Common Stock to legal entities or individuals in Bahrain, or sell shares of Common Stock directly to other legal entities or individuals in Bahrain. The Participant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20"/>
          </w:cols>
          <w:pgMar w:left="320" w:top="1399" w:right="359" w:bottom="1440" w:gutter="0" w:footer="0" w:header="0"/>
        </w:sectPr>
      </w:pPr>
    </w:p>
    <w:bookmarkStart w:id="121" w:name="page122"/>
    <w:bookmarkEnd w:id="121"/>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is required to report any securities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49"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color w:val="auto"/>
        </w:rPr>
        <w:t>Annual Securities Accounts Tax</w:t>
      </w:r>
      <w:r>
        <w:rPr>
          <w:rFonts w:ascii="Arial" w:cs="Arial" w:eastAsia="Arial" w:hAnsi="Arial"/>
          <w:sz w:val="18"/>
          <w:szCs w:val="18"/>
          <w:color w:val="auto"/>
        </w:rPr>
        <w:t>. If the value of securities held in a Belgian or foreign securities account exceeds EUR 1 million, a new</w:t>
      </w:r>
      <w:r>
        <w:rPr>
          <w:rFonts w:ascii="Arial" w:cs="Arial" w:eastAsia="Arial" w:hAnsi="Arial"/>
          <w:sz w:val="18"/>
          <w:szCs w:val="18"/>
          <w:b w:val="1"/>
          <w:bCs w:val="1"/>
          <w:color w:val="auto"/>
        </w:rPr>
        <w:t xml:space="preserve"> </w:t>
      </w:r>
      <w:r>
        <w:rPr>
          <w:rFonts w:ascii="Arial" w:cs="Arial" w:eastAsia="Arial" w:hAnsi="Arial"/>
          <w:sz w:val="18"/>
          <w:szCs w:val="18"/>
          <w:color w:val="auto"/>
        </w:rPr>
        <w:t>“annual securities accounts tax” applies. Belgian residents should consult with their personal tax advisor regarding the new tax.</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participating in the Plan and receiving the LTI Grant, the Participant acknowledges that he or she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applicable Brazilian laws and pay any and all applicable Tax-Related Items associated with the vesting of the LTI Grant and the payout or sale of any shares of Common Stock acquired under the Plan.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Labor Law Acknowledgment. </w:t>
      </w:r>
      <w:r>
        <w:rPr>
          <w:rFonts w:ascii="Arial" w:cs="Arial" w:eastAsia="Arial" w:hAnsi="Arial"/>
          <w:sz w:val="16"/>
          <w:szCs w:val="16"/>
          <w:color w:val="auto"/>
        </w:rPr>
        <w:t>By accepting the LTI Grant, the Participant understands, acknowledges and agrees that, for all legal purposes</w:t>
      </w:r>
    </w:p>
    <w:p>
      <w:pPr>
        <w:spacing w:after="0" w:line="27" w:lineRule="exact"/>
        <w:rPr>
          <w:sz w:val="20"/>
          <w:szCs w:val="20"/>
          <w:color w:val="auto"/>
        </w:rPr>
      </w:pPr>
    </w:p>
    <w:p>
      <w:pPr>
        <w:ind w:right="520" w:firstLine="8"/>
        <w:spacing w:after="0" w:line="220" w:lineRule="auto"/>
        <w:tabs>
          <w:tab w:leader="none" w:pos="236"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Participant is making an investment decision and (ii) the value of the underlying shares of Common Stock are not fixed and may increase or decrease in value over the vesting period without compensation to the Employee.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Individuals who are resident or domiciled in Brazil are generally required to submit an annual declaration</w:t>
      </w:r>
    </w:p>
    <w:p>
      <w:pPr>
        <w:spacing w:after="0" w:line="212" w:lineRule="auto"/>
        <w:rPr>
          <w:sz w:val="20"/>
          <w:szCs w:val="20"/>
          <w:color w:val="auto"/>
        </w:rPr>
      </w:pPr>
      <w:r>
        <w:rPr>
          <w:rFonts w:ascii="Arial" w:cs="Arial" w:eastAsia="Arial" w:hAnsi="Arial"/>
          <w:sz w:val="19"/>
          <w:szCs w:val="19"/>
          <w:color w:val="auto"/>
        </w:rPr>
        <w:t>of assets and rights held outside Brazil to the Central Bank of Brazil if the aggregate value of such assets and rights is greater than</w:t>
      </w:r>
    </w:p>
    <w:p>
      <w:pPr>
        <w:spacing w:after="0" w:line="219" w:lineRule="auto"/>
        <w:rPr>
          <w:sz w:val="20"/>
          <w:szCs w:val="20"/>
          <w:color w:val="auto"/>
        </w:rPr>
      </w:pPr>
      <w:r>
        <w:rPr>
          <w:rFonts w:ascii="Arial" w:cs="Arial" w:eastAsia="Arial" w:hAnsi="Arial"/>
          <w:sz w:val="18"/>
          <w:szCs w:val="18"/>
          <w:color w:val="auto"/>
        </w:rPr>
        <w:t>US$1,000,000. If such amount is equal to or greater than US$100,000,000, the referenced declaration must be submitted quarterly, in the</w:t>
      </w:r>
    </w:p>
    <w:p>
      <w:pPr>
        <w:spacing w:after="0" w:line="207" w:lineRule="auto"/>
        <w:rPr>
          <w:sz w:val="20"/>
          <w:szCs w:val="20"/>
          <w:color w:val="auto"/>
        </w:rPr>
      </w:pPr>
      <w:r>
        <w:rPr>
          <w:rFonts w:ascii="Arial" w:cs="Arial" w:eastAsia="Arial" w:hAnsi="Arial"/>
          <w:sz w:val="19"/>
          <w:szCs w:val="19"/>
          <w:color w:val="auto"/>
        </w:rPr>
        <w:t>month following the end of each quarter. Assets and rights to be included in this annual declaration include shares of Common Stock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acquired under the Plan.</w:t>
      </w:r>
    </w:p>
    <w:p>
      <w:pPr>
        <w:spacing w:after="0" w:line="153" w:lineRule="exact"/>
        <w:rPr>
          <w:sz w:val="20"/>
          <w:szCs w:val="20"/>
          <w:color w:val="auto"/>
        </w:rPr>
      </w:pPr>
    </w:p>
    <w:p>
      <w:pPr>
        <w:ind w:right="80"/>
        <w:spacing w:after="0" w:line="226"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Repatriation of funds (</w:t>
      </w:r>
      <w:r>
        <w:rPr>
          <w:rFonts w:ascii="Arial" w:cs="Arial" w:eastAsia="Arial" w:hAnsi="Arial"/>
          <w:sz w:val="19"/>
          <w:szCs w:val="19"/>
          <w:i w:val="1"/>
          <w:iCs w:val="1"/>
          <w:color w:val="auto"/>
        </w:rPr>
        <w:t>e.g.</w:t>
      </w:r>
      <w:r>
        <w:rPr>
          <w:rFonts w:ascii="Arial" w:cs="Arial" w:eastAsia="Arial" w:hAnsi="Arial"/>
          <w:sz w:val="19"/>
          <w:szCs w:val="19"/>
          <w:color w:val="auto"/>
        </w:rPr>
        <w:t>, sale proceeds from the sale of shares of Common Stock and/or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4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will be required to file statistical forms with the Bulgarian national bank annually</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his or her receivables in bank accounts abroad as well as securities held abroad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399" w:right="35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The Participant should contact his or her bank in Bulgaria for additional information regarding these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LTI Grants to employees resident in Canada shall be paid in shares of Common Stock only.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Termination of Employment. </w:t>
      </w:r>
      <w:r>
        <w:rPr>
          <w:rFonts w:ascii="Arial" w:cs="Arial" w:eastAsia="Arial" w:hAnsi="Arial"/>
          <w:sz w:val="20"/>
          <w:szCs w:val="20"/>
          <w:color w:val="auto"/>
        </w:rPr>
        <w:t>The following provision supplements paragraph 3(b) of the Agreement:</w:t>
      </w:r>
    </w:p>
    <w:p>
      <w:pPr>
        <w:spacing w:after="0" w:line="18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Mondelēz Group is terminated, or (2) the date the Participant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spacing w:after="0" w:line="157" w:lineRule="exact"/>
        <w:rPr>
          <w:sz w:val="20"/>
          <w:szCs w:val="20"/>
          <w:color w:val="auto"/>
        </w:rPr>
      </w:pPr>
    </w:p>
    <w:p>
      <w:pPr>
        <w:ind w:right="100"/>
        <w:spacing w:after="0" w:line="221"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the Participant’s right to vest in the LTI Grants under the Plan, if any, will terminate effective as of the last day of the Participant’s minimum statutory notice period. The Participant will not earn or be entitled to pro-rated vesting for that portion of time before the date on which the Participant's right to vest terminates or if the vesting date falls after the end of the Participant’s statutory notice period, nor will the Participant be entitled to any compensation for lost vesting.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Participants resident in Quebec:</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10 of the Agreement:</w:t>
      </w:r>
    </w:p>
    <w:p>
      <w:pPr>
        <w:spacing w:after="0" w:line="181"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further authorizes the Mondelēz Group to record such information and to keep such information in his or her employee file.</w:t>
      </w:r>
    </w:p>
    <w:p>
      <w:pPr>
        <w:spacing w:after="0" w:line="152"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b w:val="1"/>
          <w:bCs w:val="1"/>
          <w:color w:val="auto"/>
        </w:rPr>
        <w:t xml:space="preserve">Language Consent. </w:t>
      </w:r>
      <w:r>
        <w:rPr>
          <w:rFonts w:ascii="Arial" w:cs="Arial" w:eastAsia="Arial" w:hAnsi="Arial"/>
          <w:sz w:val="20"/>
          <w:szCs w:val="20"/>
          <w:color w:val="auto"/>
        </w:rPr>
        <w:t>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57" w:lineRule="exact"/>
        <w:rPr>
          <w:sz w:val="20"/>
          <w:szCs w:val="20"/>
          <w:color w:val="auto"/>
        </w:rPr>
      </w:pPr>
    </w:p>
    <w:p>
      <w:pPr>
        <w:ind w:right="80"/>
        <w:spacing w:after="0" w:line="218" w:lineRule="auto"/>
        <w:rPr>
          <w:sz w:val="20"/>
          <w:szCs w:val="20"/>
          <w:color w:val="auto"/>
        </w:rPr>
      </w:pPr>
      <w:r>
        <w:rPr>
          <w:rFonts w:ascii="Arial" w:cs="Arial" w:eastAsia="Arial" w:hAnsi="Arial"/>
          <w:sz w:val="20"/>
          <w:szCs w:val="20"/>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i w:val="1"/>
          <w:iCs w:val="1"/>
          <w:color w:val="auto"/>
        </w:rPr>
        <w:t xml:space="preserve"> 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60"/>
        <w:spacing w:after="0" w:line="23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Participant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5" w:right="339" w:bottom="1440" w:gutter="0" w:footer="0" w:header="0"/>
        </w:sectPr>
      </w:pPr>
    </w:p>
    <w:bookmarkStart w:id="123" w:name="page124"/>
    <w:bookmarkEnd w:id="123"/>
    <w:p>
      <w:pPr>
        <w:ind w:right="60"/>
        <w:spacing w:after="0" w:line="2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Participant is required to report any specified foreign property annually on Form</w:t>
      </w:r>
      <w:r>
        <w:rPr>
          <w:rFonts w:ascii="Arial" w:cs="Arial" w:eastAsia="Arial" w:hAnsi="Arial"/>
          <w:sz w:val="19"/>
          <w:szCs w:val="19"/>
          <w:b w:val="1"/>
          <w:bCs w:val="1"/>
          <w:color w:val="auto"/>
        </w:rPr>
        <w:t xml:space="preserve"> </w:t>
      </w:r>
      <w:r>
        <w:rPr>
          <w:rFonts w:ascii="Arial" w:cs="Arial" w:eastAsia="Arial" w:hAnsi="Arial"/>
          <w:sz w:val="19"/>
          <w:szCs w:val="19"/>
          <w:color w:val="auto"/>
        </w:rPr>
        <w:t>T1135 (Foreign Income Verification Statement) if the total cost of the 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9"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constitutes a private offering of securities in Chile effective as of the Grant Date. The LTI Grant</w:t>
      </w:r>
      <w:r>
        <w:rPr>
          <w:rFonts w:ascii="Arial" w:cs="Arial" w:eastAsia="Arial" w:hAnsi="Arial"/>
          <w:sz w:val="19"/>
          <w:szCs w:val="19"/>
          <w:b w:val="1"/>
          <w:bCs w:val="1"/>
          <w:color w:val="auto"/>
        </w:rPr>
        <w:t xml:space="preserve"> </w:t>
      </w:r>
      <w:r>
        <w:rPr>
          <w:rFonts w:ascii="Arial" w:cs="Arial" w:eastAsia="Arial" w:hAnsi="Arial"/>
          <w:sz w:val="19"/>
          <w:szCs w:val="19"/>
          <w:color w:val="auto"/>
        </w:rPr>
        <w:t>is made subject to general ruling N° 336 of the Chilean Superintendence of Securities and Insurance (“</w:t>
      </w:r>
      <w:r>
        <w:rPr>
          <w:rFonts w:ascii="Arial" w:cs="Arial" w:eastAsia="Arial" w:hAnsi="Arial"/>
          <w:sz w:val="19"/>
          <w:szCs w:val="19"/>
          <w:u w:val="single" w:color="auto"/>
          <w:color w:val="auto"/>
        </w:rPr>
        <w:t>SVS</w:t>
      </w:r>
      <w:r>
        <w:rPr>
          <w:rFonts w:ascii="Arial" w:cs="Arial" w:eastAsia="Arial" w:hAnsi="Arial"/>
          <w:sz w:val="19"/>
          <w:szCs w:val="19"/>
          <w:color w:val="auto"/>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spacing w:after="0" w:line="160"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i w:val="1"/>
          <w:iCs w:val="1"/>
          <w:color w:val="auto"/>
        </w:rPr>
        <w:t>Este Premio LTIP (en Inglés, “LTI Grant”) constituye una oferta privada de valores en Chile y se inicia en la Fecha de la Concesión. Este Premio LTIP se acoge a las disposiciones de la Norma de Carácter General N° 336 de la Superintendencia de Valores y Seguros de Chile (“</w:t>
      </w:r>
      <w:r>
        <w:rPr>
          <w:rFonts w:ascii="Arial" w:cs="Arial" w:eastAsia="Arial" w:hAnsi="Arial"/>
          <w:sz w:val="18"/>
          <w:szCs w:val="18"/>
          <w:i w:val="1"/>
          <w:iCs w:val="1"/>
          <w:u w:val="single" w:color="auto"/>
          <w:color w:val="auto"/>
        </w:rPr>
        <w:t>SVS</w:t>
      </w:r>
      <w:r>
        <w:rPr>
          <w:rFonts w:ascii="Arial" w:cs="Arial" w:eastAsia="Arial" w:hAnsi="Arial"/>
          <w:sz w:val="18"/>
          <w:szCs w:val="18"/>
          <w:i w:val="1"/>
          <w:iCs w:val="1"/>
          <w:color w:val="auto"/>
        </w:rPr>
        <w:t>”).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spacing w:after="0" w:line="149" w:lineRule="exact"/>
        <w:rPr>
          <w:sz w:val="20"/>
          <w:szCs w:val="20"/>
          <w:color w:val="auto"/>
        </w:rPr>
      </w:pPr>
    </w:p>
    <w:p>
      <w:pPr>
        <w:ind w:right="60"/>
        <w:spacing w:after="0" w:line="207"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Participant is not required to repatriate any funds he or she receives with respect to the LTI Award</w:t>
      </w:r>
      <w:r>
        <w:rPr>
          <w:rFonts w:ascii="Arial" w:cs="Arial" w:eastAsia="Arial" w:hAnsi="Arial"/>
          <w:sz w:val="20"/>
          <w:szCs w:val="20"/>
          <w:b w:val="1"/>
          <w:bCs w:val="1"/>
          <w:color w:val="auto"/>
        </w:rPr>
        <w:t xml:space="preserve"> </w:t>
      </w:r>
      <w:r>
        <w:rPr>
          <w:rFonts w:ascii="Arial" w:cs="Arial" w:eastAsia="Arial" w:hAnsi="Arial"/>
          <w:sz w:val="20"/>
          <w:szCs w:val="20"/>
          <w:color w:val="auto"/>
        </w:rPr>
        <w:t>Payout and/or the shares of Common Stock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of Common Stock or dividends received) to Chile. However, if the Participant decides to repatriate such funds, he or she must do so through the Formal Exchange Market (</w:t>
      </w:r>
      <w:r>
        <w:rPr>
          <w:rFonts w:ascii="Arial" w:cs="Arial" w:eastAsia="Arial" w:hAnsi="Arial"/>
          <w:sz w:val="20"/>
          <w:szCs w:val="20"/>
          <w:i w:val="1"/>
          <w:iCs w:val="1"/>
          <w:color w:val="auto"/>
        </w:rPr>
        <w:t>i.e.</w:t>
      </w:r>
      <w:r>
        <w:rPr>
          <w:rFonts w:ascii="Arial" w:cs="Arial" w:eastAsia="Arial" w:hAnsi="Arial"/>
          <w:sz w:val="20"/>
          <w:szCs w:val="20"/>
          <w:color w:val="auto"/>
        </w:rPr>
        <w:t>, a commercial bank or registered foreign exchange office) if the amount of the funds repatriated exceeds US $10,000. Further, if the value of the aggregate investments held by the Participant outside of Chile exceeds US $5,000,000 (</w:t>
      </w:r>
      <w:r>
        <w:rPr>
          <w:rFonts w:ascii="Arial" w:cs="Arial" w:eastAsia="Arial" w:hAnsi="Arial"/>
          <w:sz w:val="20"/>
          <w:szCs w:val="20"/>
          <w:i w:val="1"/>
          <w:iCs w:val="1"/>
          <w:color w:val="auto"/>
        </w:rPr>
        <w:t>e.g.</w:t>
      </w:r>
      <w:r>
        <w:rPr>
          <w:rFonts w:ascii="Arial" w:cs="Arial" w:eastAsia="Arial" w:hAnsi="Arial"/>
          <w:sz w:val="20"/>
          <w:szCs w:val="20"/>
          <w:color w:val="auto"/>
        </w:rPr>
        <w:t>, shares of Common Stock and cash proceeds acquired under the Plan), the Participant must report the investments annually to the Central Bank using Annex 3.1 of Chapter XII of the Foreign Exchange Regulations.</w:t>
      </w:r>
    </w:p>
    <w:p>
      <w:pPr>
        <w:spacing w:after="0" w:line="157" w:lineRule="exact"/>
        <w:rPr>
          <w:sz w:val="20"/>
          <w:szCs w:val="20"/>
          <w:color w:val="auto"/>
        </w:rPr>
      </w:pPr>
    </w:p>
    <w:p>
      <w:pPr>
        <w:ind w:right="300"/>
        <w:spacing w:after="0" w:line="229"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Participant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LTI Award Payout.</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b w:val="1"/>
          <w:bCs w:val="1"/>
          <w:color w:val="auto"/>
        </w:rPr>
        <w:t>Foreign Asset / Account Reporting Information</w:t>
      </w:r>
      <w:r>
        <w:rPr>
          <w:rFonts w:ascii="Arial" w:cs="Arial" w:eastAsia="Arial" w:hAnsi="Arial"/>
          <w:sz w:val="18"/>
          <w:szCs w:val="18"/>
          <w:color w:val="auto"/>
        </w:rPr>
        <w:t>. If the Participant holds shares of Common Stock acquired under the Plan outside Chile,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may be required to inform the Chilean Internal Revenue Service (the “</w:t>
      </w:r>
      <w:r>
        <w:rPr>
          <w:rFonts w:ascii="Arial" w:cs="Arial" w:eastAsia="Arial" w:hAnsi="Arial"/>
          <w:sz w:val="18"/>
          <w:szCs w:val="18"/>
          <w:u w:val="single" w:color="auto"/>
          <w:color w:val="auto"/>
        </w:rPr>
        <w:t>CIRS</w:t>
      </w:r>
      <w:r>
        <w:rPr>
          <w:rFonts w:ascii="Arial" w:cs="Arial" w:eastAsia="Arial" w:hAnsi="Arial"/>
          <w:sz w:val="18"/>
          <w:szCs w:val="18"/>
          <w:color w:val="auto"/>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June 30 each year, which should be submitted electronically through the CIRS website: </w:t>
      </w:r>
      <w:r>
        <w:rPr>
          <w:rFonts w:ascii="Arial" w:cs="Arial" w:eastAsia="Arial" w:hAnsi="Arial"/>
          <w:sz w:val="19"/>
          <w:szCs w:val="19"/>
          <w:color w:val="auto"/>
        </w:rPr>
        <w:t>www.sii.cl.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399" w:right="3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75" w:lineRule="exact"/>
        <w:rPr>
          <w:sz w:val="20"/>
          <w:szCs w:val="20"/>
          <w:color w:val="auto"/>
        </w:rPr>
      </w:pPr>
    </w:p>
    <w:p>
      <w:pPr>
        <w:spacing w:after="0" w:line="218" w:lineRule="auto"/>
        <w:rPr>
          <w:sz w:val="20"/>
          <w:szCs w:val="20"/>
          <w:color w:val="auto"/>
        </w:rPr>
      </w:pPr>
      <w:r>
        <w:rPr>
          <w:rFonts w:ascii="Arial" w:cs="Arial" w:eastAsia="Arial" w:hAnsi="Arial"/>
          <w:sz w:val="20"/>
          <w:szCs w:val="20"/>
          <w:b w:val="1"/>
          <w:bCs w:val="1"/>
          <w:i w:val="1"/>
          <w:iCs w:val="1"/>
          <w:color w:val="auto"/>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color w:val="auto"/>
        </w:rPr>
        <w:t xml:space="preserve">Time and Form of Payment. </w:t>
      </w:r>
      <w:r>
        <w:rPr>
          <w:rFonts w:ascii="Arial" w:cs="Arial" w:eastAsia="Arial" w:hAnsi="Arial"/>
          <w:sz w:val="16"/>
          <w:szCs w:val="16"/>
          <w:color w:val="auto"/>
        </w:rPr>
        <w:t>Due to legal restrictions in China, the LTI Award Payout may be made to the Participant in cash, rather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3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event that the Participant is not required to sell shares of Common Stock immediately upon payment of the LTI Grant, any shares of Common Stock issued to the Participant must be maintained in an account with UBS Financial Services, Inc.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 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spacing w:after="0" w:line="149" w:lineRule="exact"/>
        <w:rPr>
          <w:sz w:val="20"/>
          <w:szCs w:val="20"/>
          <w:color w:val="auto"/>
        </w:rPr>
      </w:pPr>
    </w:p>
    <w:p>
      <w:pPr>
        <w:spacing w:after="0" w:line="212" w:lineRule="auto"/>
        <w:rPr>
          <w:sz w:val="20"/>
          <w:szCs w:val="20"/>
          <w:color w:val="auto"/>
        </w:rPr>
      </w:pPr>
      <w:r>
        <w:rPr>
          <w:rFonts w:ascii="Arial" w:cs="Arial" w:eastAsia="Arial" w:hAnsi="Arial"/>
          <w:sz w:val="19"/>
          <w:szCs w:val="19"/>
          <w:b w:val="1"/>
          <w:bCs w:val="1"/>
          <w:color w:val="auto"/>
        </w:rPr>
        <w:t xml:space="preserve">Exchange Control Restrictions. </w:t>
      </w:r>
      <w:r>
        <w:rPr>
          <w:rFonts w:ascii="Arial" w:cs="Arial" w:eastAsia="Arial" w:hAnsi="Arial"/>
          <w:sz w:val="19"/>
          <w:szCs w:val="19"/>
          <w:color w:val="auto"/>
        </w:rPr>
        <w:t>The Participant understands and agrees that, due to exchange control laws in China, he or she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162" w:lineRule="exact"/>
        <w:rPr>
          <w:sz w:val="20"/>
          <w:szCs w:val="20"/>
          <w:color w:val="auto"/>
        </w:rPr>
      </w:pPr>
    </w:p>
    <w:p>
      <w:pPr>
        <w:spacing w:after="0" w:line="224" w:lineRule="auto"/>
        <w:rPr>
          <w:sz w:val="20"/>
          <w:szCs w:val="20"/>
          <w:color w:val="auto"/>
        </w:rPr>
      </w:pPr>
      <w:r>
        <w:rPr>
          <w:rFonts w:ascii="Arial" w:cs="Arial" w:eastAsia="Arial" w:hAnsi="Arial"/>
          <w:sz w:val="19"/>
          <w:szCs w:val="19"/>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180"/>
          </w:cols>
          <w:pgMar w:left="320" w:top="1405" w:right="399" w:bottom="1440" w:gutter="0" w:footer="0" w:header="0"/>
        </w:sectPr>
      </w:pPr>
    </w:p>
    <w:bookmarkStart w:id="125" w:name="page126"/>
    <w:bookmarkEnd w:id="125"/>
    <w:p>
      <w:pPr>
        <w:ind w:right="1440"/>
        <w:spacing w:after="0" w:line="419" w:lineRule="auto"/>
        <w:rPr>
          <w:sz w:val="20"/>
          <w:szCs w:val="20"/>
          <w:color w:val="auto"/>
        </w:rPr>
      </w:pPr>
      <w:r>
        <w:rPr>
          <w:rFonts w:ascii="Arial" w:cs="Arial" w:eastAsia="Arial" w:hAnsi="Arial"/>
          <w:sz w:val="20"/>
          <w:szCs w:val="20"/>
          <w:color w:val="auto"/>
        </w:rPr>
        <w:t xml:space="preserve">immediately upon issuance (as described above) or upon termination of the Participant’s service with the Mondelēz Group. </w:t>
      </w:r>
      <w:r>
        <w:rPr>
          <w:rFonts w:ascii="Arial" w:cs="Arial" w:eastAsia="Arial" w:hAnsi="Arial"/>
          <w:sz w:val="20"/>
          <w:szCs w:val="20"/>
          <w:b w:val="1"/>
          <w:bCs w:val="1"/>
          <w:i w:val="1"/>
          <w:iCs w:val="1"/>
          <w:color w:val="auto"/>
        </w:rPr>
        <w:t>NOTIFICATIONS</w:t>
      </w:r>
    </w:p>
    <w:p>
      <w:pPr>
        <w:spacing w:after="0" w:line="1" w:lineRule="exact"/>
        <w:rPr>
          <w:sz w:val="20"/>
          <w:szCs w:val="20"/>
          <w:color w:val="auto"/>
        </w:rPr>
      </w:pPr>
    </w:p>
    <w:p>
      <w:pPr>
        <w:spacing w:after="0" w:line="340"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Participant acknowledges that pursuant to Article 128 of the Colombian Labor Code,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0"/>
        <w:spacing w:after="0" w:line="23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49"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Colombian residents must register shares of Common Stock acquired under the Plan, regardless of value,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Central Bank of Colombia (</w:t>
      </w:r>
      <w:r>
        <w:rPr>
          <w:rFonts w:ascii="Arial" w:cs="Arial" w:eastAsia="Arial" w:hAnsi="Arial"/>
          <w:sz w:val="19"/>
          <w:szCs w:val="19"/>
          <w:i w:val="1"/>
          <w:iCs w:val="1"/>
          <w:color w:val="auto"/>
        </w:rPr>
        <w:t>Banco de la República</w:t>
      </w:r>
      <w:r>
        <w:rPr>
          <w:rFonts w:ascii="Arial" w:cs="Arial" w:eastAsia="Arial" w:hAnsi="Arial"/>
          <w:sz w:val="19"/>
          <w:szCs w:val="19"/>
          <w:color w:val="auto"/>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Arial" w:cs="Arial" w:eastAsia="Arial" w:hAnsi="Arial"/>
          <w:sz w:val="19"/>
          <w:szCs w:val="19"/>
          <w:i w:val="1"/>
          <w:iCs w:val="1"/>
          <w:color w:val="auto"/>
        </w:rPr>
        <w:t>declaración de cambio</w:t>
      </w:r>
      <w:r>
        <w:rPr>
          <w:rFonts w:ascii="Arial" w:cs="Arial" w:eastAsia="Arial" w:hAnsi="Arial"/>
          <w:sz w:val="19"/>
          <w:szCs w:val="19"/>
          <w:color w:val="auto"/>
        </w:rPr>
        <w:t>).</w:t>
      </w:r>
    </w:p>
    <w:p>
      <w:pPr>
        <w:spacing w:after="0" w:line="155" w:lineRule="exact"/>
        <w:rPr>
          <w:sz w:val="20"/>
          <w:szCs w:val="20"/>
          <w:color w:val="auto"/>
        </w:rPr>
      </w:pPr>
    </w:p>
    <w:p>
      <w:pPr>
        <w:ind w:right="140"/>
        <w:spacing w:after="0" w:line="218" w:lineRule="auto"/>
        <w:rPr>
          <w:sz w:val="20"/>
          <w:szCs w:val="20"/>
          <w:color w:val="auto"/>
        </w:rPr>
      </w:pPr>
      <w:r>
        <w:rPr>
          <w:rFonts w:ascii="Arial" w:cs="Arial" w:eastAsia="Arial" w:hAnsi="Arial"/>
          <w:sz w:val="20"/>
          <w:szCs w:val="20"/>
          <w:color w:val="auto"/>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spacing w:after="0" w:line="150"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Participant must describe each asset and indicate the jurisdiction in which it is located, its nature and its value.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CROATIA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1"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Croatian residents may be required to report any foreign investments (including shares of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 It is the Participant 's responsibility to comply with Croatian exchange control laws.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1405" w:right="39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181" w:lineRule="exact"/>
        <w:rPr>
          <w:sz w:val="20"/>
          <w:szCs w:val="20"/>
          <w:color w:val="auto"/>
        </w:rPr>
      </w:pPr>
    </w:p>
    <w:p>
      <w:pPr>
        <w:ind w:right="60"/>
        <w:spacing w:after="0" w:line="207"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80"/>
        <w:spacing w:after="0" w:line="247"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Czech residents may be required to fulfill certain notification duties in relation to the LTI Grant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opening and maintenance of a foreign account, including reporting foreign financial assets with a value of CZK 200,000,000 or more. The Participant should consult their personal legal advisor to ensure compliance with the applicable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760"/>
        <w:spacing w:after="0" w:line="232"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Participant acknowledges that he or she has received an Employer Statement in Danish, which sets forth the</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terms of the LTI Grant to the extent that the Danish Stock Option Act applies.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20"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175"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340"/>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transfers funds into Egypt in connection with the LTI Award Payout, the Participant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transfer the funds through a registered bank in Egypt.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399" w:right="339" w:bottom="1440" w:gutter="0" w:footer="0" w:header="0"/>
        </w:sectPr>
      </w:pPr>
    </w:p>
    <w:bookmarkStart w:id="127" w:name="page128"/>
    <w:bookmarkEnd w:id="127"/>
    <w:p>
      <w:pPr>
        <w:ind w:right="300"/>
        <w:spacing w:after="0" w:line="238"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There are no specific reporting requirements with respect to foreign assets/accounts.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please note that the Participant must check their pre-completed tax return to confirm that the ownership of shares of Common Stock and other securities (foreign or domestic) is correctly reported. If the Participant finds any errors or omissions, the Participant must make the necessary corrections electronically or by sending specific paper forms to the local tax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b w:val="1"/>
          <w:bCs w:val="1"/>
          <w:color w:val="auto"/>
        </w:rPr>
        <w:t xml:space="preserve">LTI Grant Not French-Qualified. </w:t>
      </w:r>
      <w:r>
        <w:rPr>
          <w:rFonts w:ascii="Arial" w:cs="Arial" w:eastAsia="Arial" w:hAnsi="Arial"/>
          <w:sz w:val="20"/>
          <w:szCs w:val="20"/>
          <w:color w:val="auto"/>
        </w:rPr>
        <w:t>The LTI Grant made under this Agreement are not intended to qualify for specific tax and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pursuant to Sections L. 225-197-1 to L. 225-197-6 of the French Commercial Code, as amended.</w:t>
      </w:r>
    </w:p>
    <w:p>
      <w:pPr>
        <w:spacing w:after="0" w:line="149" w:lineRule="exact"/>
        <w:rPr>
          <w:sz w:val="20"/>
          <w:szCs w:val="20"/>
          <w:color w:val="auto"/>
        </w:rPr>
      </w:pPr>
    </w:p>
    <w:p>
      <w:pPr>
        <w:jc w:val="both"/>
        <w:ind w:right="80"/>
        <w:spacing w:after="0" w:line="220"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and receiving the LTI Grant, the Participant confirms having read</w:t>
      </w:r>
      <w:r>
        <w:rPr>
          <w:rFonts w:ascii="Arial" w:cs="Arial" w:eastAsia="Arial" w:hAnsi="Arial"/>
          <w:sz w:val="20"/>
          <w:szCs w:val="20"/>
          <w:b w:val="1"/>
          <w:bCs w:val="1"/>
          <w:color w:val="auto"/>
        </w:rPr>
        <w:t xml:space="preserve"> </w:t>
      </w:r>
      <w:r>
        <w:rPr>
          <w:rFonts w:ascii="Arial" w:cs="Arial" w:eastAsia="Arial" w:hAnsi="Arial"/>
          <w:sz w:val="20"/>
          <w:szCs w:val="20"/>
          <w:color w:val="auto"/>
        </w:rPr>
        <w:t>and understood the Plan and Agreement, including all terms and conditions included therein, which were provided in the English language. The Participant accepts the terms of those documents accordingly.</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320"/>
        <w:spacing w:after="0" w:line="226"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the Participant holds shares of Common Stock outside France or maintains a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181" w:lineRule="exact"/>
        <w:rPr>
          <w:sz w:val="20"/>
          <w:szCs w:val="20"/>
          <w:color w:val="auto"/>
        </w:rPr>
      </w:pPr>
    </w:p>
    <w:p>
      <w:pPr>
        <w:spacing w:after="0" w:line="207"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monthly to the German Federal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Participant is responsible for satisfying the reporting obligation.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180"/>
          </w:cols>
          <w:pgMar w:left="320" w:top="1399" w:right="399" w:bottom="1440" w:gutter="0" w:footer="0" w:header="0"/>
        </w:sectPr>
      </w:pPr>
    </w:p>
    <w:bookmarkStart w:id="128" w:name="page129"/>
    <w:bookmarkEnd w:id="128"/>
    <w:p>
      <w:pPr>
        <w:ind w:right="260"/>
        <w:spacing w:after="0" w:line="23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German residents holding Common Stock must notify their local tax office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Common Stock under the Plan leads to a so-called qualified participation at any point during the calendar year. A qualified participation is attained only in the unlikely event (i) the Participant owns at least 1% of the Company and the value of the Common Stock acquired exceeds €150,000, or (ii) the Participant holds Common Stock exceeding 10% of the total capital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GUATEMALA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the Participant acknowledges that they have reviewed paragraph</w:t>
      </w:r>
      <w:r>
        <w:rPr>
          <w:rFonts w:ascii="Arial" w:cs="Arial" w:eastAsia="Arial" w:hAnsi="Arial"/>
          <w:sz w:val="20"/>
          <w:szCs w:val="20"/>
          <w:b w:val="1"/>
          <w:bCs w:val="1"/>
          <w:color w:val="auto"/>
        </w:rPr>
        <w:t xml:space="preserve"> </w:t>
      </w:r>
      <w:r>
        <w:rPr>
          <w:rFonts w:ascii="Arial" w:cs="Arial" w:eastAsia="Arial" w:hAnsi="Arial"/>
          <w:sz w:val="20"/>
          <w:szCs w:val="20"/>
          <w:color w:val="auto"/>
        </w:rPr>
        <w:t>24 of the Agreement and are sufficiently proficient in English, or, alternatively, that the Participant will seek appropriate assistance, to understand the terms and conditions in the Agreement.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16"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i w:val="1"/>
          <w:iCs w:val="1"/>
          <w:color w:val="auto"/>
        </w:rPr>
        <w:t>Warning: The contents of this document have not been reviewed by any regulatory authority in Hong Kong.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Participant is advised to exercise caution in relation to the offer. If the Participant is in any doubt about any of the contents of the Agreement, including this Appendix, or the Plan, the Participant should obtain independent professional advice. The LTI Grant and any shares of Common Stock issued pursuant to the grant do not constitute a public offering of securities under Hong Kong law and are available only to Participants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LTI Grant and any related documentation are intended only for the personal use of each eligible employee of the Mondelēz Group and may not be distributed to any other person.</w:t>
      </w:r>
    </w:p>
    <w:p>
      <w:pPr>
        <w:spacing w:after="0" w:line="155" w:lineRule="exact"/>
        <w:rPr>
          <w:sz w:val="20"/>
          <w:szCs w:val="20"/>
          <w:color w:val="auto"/>
        </w:rPr>
      </w:pPr>
    </w:p>
    <w:p>
      <w:pPr>
        <w:ind w:right="40"/>
        <w:spacing w:after="0" w:line="232" w:lineRule="auto"/>
        <w:rPr>
          <w:sz w:val="20"/>
          <w:szCs w:val="20"/>
          <w:color w:val="auto"/>
        </w:rPr>
      </w:pPr>
      <w:r>
        <w:rPr>
          <w:rFonts w:ascii="Arial" w:cs="Arial" w:eastAsia="Arial" w:hAnsi="Arial"/>
          <w:sz w:val="19"/>
          <w:szCs w:val="19"/>
          <w:b w:val="1"/>
          <w:bCs w:val="1"/>
          <w:color w:val="auto"/>
        </w:rPr>
        <w:t xml:space="preserve">Sale of Shares. </w:t>
      </w:r>
      <w:r>
        <w:rPr>
          <w:rFonts w:ascii="Arial" w:cs="Arial" w:eastAsia="Arial" w:hAnsi="Arial"/>
          <w:sz w:val="19"/>
          <w:szCs w:val="19"/>
          <w:color w:val="auto"/>
        </w:rPr>
        <w:t>Shares of Common Stock received under the Plan are accepted as a personal investment. In the event the LTI Grant vests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are issued to the Participant within six months of the Grant Date, the Participant agrees that he or she will not dispose of the shares of Common Stock acquired prior to the six-month anniversary of the Grant Date.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399" w:right="339" w:bottom="1440" w:gutter="0" w:footer="0" w:header="0"/>
        </w:sectPr>
      </w:pPr>
    </w:p>
    <w:bookmarkStart w:id="129" w:name="page130"/>
    <w:bookmarkEnd w:id="129"/>
    <w:p>
      <w:pPr>
        <w:ind w:right="20"/>
        <w:spacing w:after="0" w:line="208" w:lineRule="auto"/>
        <w:rPr>
          <w:sz w:val="20"/>
          <w:szCs w:val="20"/>
          <w:color w:val="auto"/>
        </w:rPr>
      </w:pPr>
      <w:r>
        <w:rPr>
          <w:rFonts w:ascii="Arial" w:cs="Arial" w:eastAsia="Arial" w:hAnsi="Arial"/>
          <w:sz w:val="20"/>
          <w:szCs w:val="20"/>
          <w:b w:val="1"/>
          <w:bCs w:val="1"/>
          <w:color w:val="auto"/>
        </w:rPr>
        <w:t xml:space="preserve">Exchange Control Restrictions. </w:t>
      </w:r>
      <w:r>
        <w:rPr>
          <w:rFonts w:ascii="Arial" w:cs="Arial" w:eastAsia="Arial" w:hAnsi="Arial"/>
          <w:sz w:val="20"/>
          <w:szCs w:val="20"/>
          <w:color w:val="auto"/>
        </w:rPr>
        <w:t>If the LTI Grant vests and shares of Common Stock are issued to the Participant, the Participant must</w:t>
      </w:r>
      <w:r>
        <w:rPr>
          <w:rFonts w:ascii="Arial" w:cs="Arial" w:eastAsia="Arial" w:hAnsi="Arial"/>
          <w:sz w:val="20"/>
          <w:szCs w:val="20"/>
          <w:b w:val="1"/>
          <w:bCs w:val="1"/>
          <w:color w:val="auto"/>
        </w:rPr>
        <w:t xml:space="preserve"> </w:t>
      </w:r>
      <w:r>
        <w:rPr>
          <w:rFonts w:ascii="Arial" w:cs="Arial" w:eastAsia="Arial" w:hAnsi="Arial"/>
          <w:sz w:val="20"/>
          <w:szCs w:val="20"/>
          <w:color w:val="auto"/>
        </w:rPr>
        <w:t>repatriate and convert into local currency any cash dividends paid on shares of Common Stock and/or the proceeds from the sale of shares of Common Stock to India within the required time periods specified under applicable Indian exchange control regulations. The Participant must maintain the foreign inward remittance certificate received from the bank where the foreign currency is deposited in the event that the Reserve Bank of India or the Employer requests proof of repatriation. It is the Participant’s responsibility to comply with applicable exchange control laws in India.</w:t>
      </w:r>
    </w:p>
    <w:p>
      <w:pPr>
        <w:spacing w:after="0" w:line="15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Participant is required to declare foreign bank accounts and any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(including shares of Common Stock held outside India) in his or her annual tax return. It is the Participant’s responsibility to comply with this reporting obligation and the Participant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40"/>
        <w:spacing w:after="0" w:line="208" w:lineRule="auto"/>
        <w:rPr>
          <w:sz w:val="20"/>
          <w:szCs w:val="20"/>
          <w:color w:val="auto"/>
        </w:rPr>
      </w:pPr>
      <w:r>
        <w:rPr>
          <w:rFonts w:ascii="Arial" w:cs="Arial" w:eastAsia="Arial" w:hAnsi="Arial"/>
          <w:sz w:val="20"/>
          <w:szCs w:val="20"/>
          <w:b w:val="1"/>
          <w:bCs w:val="1"/>
          <w:color w:val="auto"/>
        </w:rPr>
        <w:t xml:space="preserve">Language Consent and Notification. </w:t>
      </w:r>
      <w:r>
        <w:rPr>
          <w:rFonts w:ascii="Arial" w:cs="Arial" w:eastAsia="Arial" w:hAnsi="Arial"/>
          <w:sz w:val="20"/>
          <w:szCs w:val="20"/>
          <w:color w:val="auto"/>
        </w:rPr>
        <w:t>A translation of the documents relating to this LTI grant into Bahasa Indonesia can be provided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Participant upon request to Daning Novianti, My Rewards Advisor ID, at </w:t>
      </w:r>
      <w:r>
        <w:rPr>
          <w:rFonts w:ascii="Arial" w:cs="Arial" w:eastAsia="Arial" w:hAnsi="Arial"/>
          <w:sz w:val="20"/>
          <w:szCs w:val="20"/>
          <w:u w:val="single" w:color="auto"/>
          <w:color w:val="auto"/>
        </w:rPr>
        <w:t>Daning.Novianti@mdlz.com</w:t>
      </w:r>
      <w:r>
        <w:rPr>
          <w:rFonts w:ascii="Arial" w:cs="Arial" w:eastAsia="Arial" w:hAnsi="Arial"/>
          <w:sz w:val="20"/>
          <w:szCs w:val="20"/>
          <w:color w:val="auto"/>
        </w:rPr>
        <w:t>. By accepting the LTI Grant, the Participant (i) confirms having read and understood the documents relating to this LTI Grant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5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b w:val="1"/>
          <w:bCs w:val="1"/>
          <w:color w:val="auto"/>
        </w:rPr>
        <w:t>Language Consent and Notification</w:t>
      </w:r>
      <w:r>
        <w:rPr>
          <w:rFonts w:ascii="Arial" w:cs="Arial" w:eastAsia="Arial" w:hAnsi="Arial"/>
          <w:sz w:val="18"/>
          <w:szCs w:val="18"/>
          <w:color w:val="auto"/>
        </w:rPr>
        <w:t>. Terjemahan dari dokumen-dokumen terkait dengan pemberian ini ke Bahasa Indonesia dapat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disediakan untuk anda berdasarkan permintaan kepada Daning Novianti, My Rewards Advisor ID, di </w:t>
      </w:r>
      <w:r>
        <w:rPr>
          <w:rFonts w:ascii="Arial" w:cs="Arial" w:eastAsia="Arial" w:hAnsi="Arial"/>
          <w:sz w:val="18"/>
          <w:szCs w:val="18"/>
          <w:u w:val="single" w:color="auto"/>
          <w:color w:val="auto"/>
        </w:rPr>
        <w:t>Daning.Novianti@mdlz.com</w:t>
      </w:r>
      <w:r>
        <w:rPr>
          <w:rFonts w:ascii="Arial" w:cs="Arial" w:eastAsia="Arial" w:hAnsi="Arial"/>
          <w:sz w:val="18"/>
          <w:szCs w:val="18"/>
          <w:color w:val="auto"/>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58" w:lineRule="exact"/>
        <w:rPr>
          <w:sz w:val="20"/>
          <w:szCs w:val="20"/>
          <w:color w:val="auto"/>
        </w:rPr>
      </w:pPr>
    </w:p>
    <w:p>
      <w:pPr>
        <w:ind w:right="80"/>
        <w:spacing w:after="0" w:line="210" w:lineRule="auto"/>
        <w:rPr>
          <w:sz w:val="20"/>
          <w:szCs w:val="20"/>
          <w:color w:val="auto"/>
        </w:rPr>
      </w:pPr>
      <w:r>
        <w:rPr>
          <w:rFonts w:ascii="Arial" w:cs="Arial" w:eastAsia="Arial" w:hAnsi="Arial"/>
          <w:sz w:val="20"/>
          <w:szCs w:val="20"/>
          <w:color w:val="auto"/>
        </w:rPr>
        <w:t>In addition, if the Participant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spacing w:after="0" w:line="149" w:lineRule="exact"/>
        <w:rPr>
          <w:sz w:val="20"/>
          <w:szCs w:val="20"/>
          <w:color w:val="auto"/>
        </w:rPr>
      </w:pPr>
    </w:p>
    <w:p>
      <w:pPr>
        <w:ind w:right="360"/>
        <w:spacing w:after="0" w:line="249"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Indonesian residents have the obligation to report worldwide assets (including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and shares of Common Stock acquired under the Plan) in their annual individual income tax return.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80"/>
          </w:cols>
          <w:pgMar w:left="320" w:top="1399" w:right="39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181" w:lineRule="exact"/>
        <w:rPr>
          <w:sz w:val="20"/>
          <w:szCs w:val="20"/>
          <w:color w:val="auto"/>
        </w:rPr>
      </w:pPr>
    </w:p>
    <w:p>
      <w:pPr>
        <w:ind w:right="60"/>
        <w:spacing w:after="0" w:line="207"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08"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Participant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must notify the Irish subsidiary or affiliate in writing if (1) the Participant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ISRAEL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Immediate Sale Restriction. </w:t>
      </w:r>
      <w:r>
        <w:rPr>
          <w:rFonts w:ascii="Arial" w:cs="Arial" w:eastAsia="Arial" w:hAnsi="Arial"/>
          <w:sz w:val="18"/>
          <w:szCs w:val="18"/>
          <w:color w:val="auto"/>
        </w:rPr>
        <w:t>As a condition of the LTI Grant, the Participant agrees to the immediate sale of any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issued to Participant upon the LTI Award Payout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of Common Stock. Upon any such sale of the shares, the proceeds, less any Tax-Related Items and broker’s fees or commissions, will be remitted to the Participant. The Company reserves the right to allow the Participant to hold shares of Common Stock depending on the development of local law.</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does not constitute a public offering under the Securities Law, 1968.</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32"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participating in the Plan and receiving the LTI Grant, the Participant acknowledges that he or she has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copy of the Plan and the Agreement and has reviewed the Plan and the Agreement, including this Appendix A, in their entirety and fully understands and accepts all provisions of the Plan and the Agreement, including this Appendix A.</w:t>
      </w:r>
    </w:p>
    <w:p>
      <w:pPr>
        <w:spacing w:after="0" w:line="155"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399" w:right="33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40"/>
        <w:spacing w:after="0" w:line="22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are beneficial owners of the investment pursuant to Italian money laundering provisions.</w:t>
      </w:r>
    </w:p>
    <w:p>
      <w:pPr>
        <w:spacing w:after="0" w:line="150" w:lineRule="exact"/>
        <w:rPr>
          <w:sz w:val="20"/>
          <w:szCs w:val="20"/>
          <w:color w:val="auto"/>
        </w:rPr>
      </w:pPr>
    </w:p>
    <w:p>
      <w:pPr>
        <w:spacing w:after="0" w:line="211"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2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KAZAKHSTAN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80"/>
        <w:spacing w:after="0" w:line="247"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This offer is addressed only to certain eligible employees in the form of the shares of Common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Company. Neither the Plan nor the Agreement has been approved, nor do they need to be approved, by the National Bank of Kazakhstan. This offer is intended only for the original recipient and is not for general circulation in the Republic of Kazakhstan.</w:t>
      </w:r>
    </w:p>
    <w:p>
      <w:pPr>
        <w:spacing w:after="0" w:line="171" w:lineRule="exact"/>
        <w:rPr>
          <w:sz w:val="20"/>
          <w:szCs w:val="20"/>
          <w:color w:val="auto"/>
        </w:rPr>
      </w:pPr>
    </w:p>
    <w:p>
      <w:pPr>
        <w:ind w:right="300"/>
        <w:spacing w:after="0" w:line="249"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Residents of Kazakhstan may be required to notify the National Bank of Kazakhstan when they acquire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under the Plan if the value of such shares of Common Stock exceeds US $100,000.</w:t>
      </w:r>
    </w:p>
    <w:p>
      <w:pPr>
        <w:spacing w:after="0" w:line="174" w:lineRule="exact"/>
        <w:rPr>
          <w:sz w:val="20"/>
          <w:szCs w:val="20"/>
          <w:color w:val="auto"/>
        </w:rPr>
      </w:pPr>
    </w:p>
    <w:p>
      <w:pPr>
        <w:ind w:right="20"/>
        <w:spacing w:after="0" w:line="213" w:lineRule="auto"/>
        <w:rPr>
          <w:sz w:val="20"/>
          <w:szCs w:val="20"/>
          <w:color w:val="auto"/>
        </w:rPr>
      </w:pPr>
      <w:r>
        <w:rPr>
          <w:rFonts w:ascii="Arial" w:cs="Arial" w:eastAsia="Arial" w:hAnsi="Arial"/>
          <w:sz w:val="20"/>
          <w:szCs w:val="20"/>
          <w:color w:val="auto"/>
        </w:rPr>
        <w:t>Please note that the exchange control regulations in Kazakhstan are subject to change. The Employee should consult with their personal legal advisor regarding any exchange control obligations that the Employee may have prior to the LTI Award Payout or receiving proceeds from the sale of shares of Common Stock acquired under the Plan. The Employee is responsible for ensuring compliance with all exchange control laws in Kazakhstan.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80"/>
        <w:spacing w:after="0" w:line="214"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Participant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the LTI Award Payout. The registration should be completed through the online portal “I TAX” and is a one-time only registration. The Participant is solely responsible for ensuring compliance with all registration requirements in Kenya.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405" w:right="35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paragraph 10 of the Agreement: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700"/>
          </w:cols>
          <w:pgMar w:left="320" w:top="1399" w:right="879" w:bottom="1440" w:gutter="0" w:footer="0" w:header="0"/>
        </w:sectPr>
      </w:pPr>
    </w:p>
    <w:bookmarkStart w:id="133" w:name="page134"/>
    <w:bookmarkEnd w:id="13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tbl>
      <w:tblPr>
        <w:tblLayout w:type="fixed"/>
        <w:tblInd w:w="20" w:type="dxa"/>
        <w:tblCellMar>
          <w:top w:w="0" w:type="dxa"/>
          <w:left w:w="0" w:type="dxa"/>
          <w:bottom w:w="0" w:type="dxa"/>
          <w:right w:w="0" w:type="dxa"/>
        </w:tblCellMar>
      </w:tblPr>
      <w:tr>
        <w:trPr>
          <w:trHeight w:val="20"/>
        </w:trPr>
        <w:tc>
          <w:tcPr>
            <w:tcW w:w="2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gridSpan w:val="3"/>
          </w:tcPr>
          <w:p>
            <w:pPr>
              <w:ind w:left="60"/>
              <w:spacing w:after="0" w:line="183" w:lineRule="exact"/>
              <w:rPr>
                <w:sz w:val="20"/>
                <w:szCs w:val="20"/>
                <w:color w:val="auto"/>
              </w:rPr>
            </w:pPr>
            <w:r>
              <w:rPr>
                <w:rFonts w:ascii="Arial" w:cs="Arial" w:eastAsia="Arial" w:hAnsi="Arial"/>
                <w:sz w:val="20"/>
                <w:szCs w:val="20"/>
                <w:b w:val="1"/>
                <w:bCs w:val="1"/>
                <w:i w:val="1"/>
                <w:iCs w:val="1"/>
                <w:color w:val="auto"/>
                <w:w w:val="93"/>
              </w:rPr>
              <w:t>The Participant explicitly and unambiguously consents to the</w:t>
            </w:r>
          </w:p>
        </w:tc>
        <w:tc>
          <w:tcPr>
            <w:tcW w:w="5660" w:type="dxa"/>
            <w:vAlign w:val="bottom"/>
            <w:gridSpan w:val="4"/>
          </w:tcPr>
          <w:p>
            <w:pPr>
              <w:ind w:left="100"/>
              <w:spacing w:after="0" w:line="183" w:lineRule="exact"/>
              <w:rPr>
                <w:sz w:val="20"/>
                <w:szCs w:val="20"/>
                <w:color w:val="auto"/>
              </w:rPr>
            </w:pPr>
            <w:r>
              <w:rPr>
                <w:rFonts w:ascii="Arial" w:cs="Arial" w:eastAsia="Arial" w:hAnsi="Arial"/>
                <w:sz w:val="20"/>
                <w:szCs w:val="20"/>
                <w:b w:val="1"/>
                <w:bCs w:val="1"/>
                <w:i w:val="1"/>
                <w:iCs w:val="1"/>
                <w:color w:val="auto"/>
                <w:w w:val="89"/>
              </w:rPr>
              <w:t>Peserta dengan ini secara eksplisit dan tanpa sebarang keraguan</w:t>
            </w:r>
          </w:p>
        </w:tc>
        <w:tc>
          <w:tcPr>
            <w:tcW w:w="0" w:type="dxa"/>
            <w:vAlign w:val="bottom"/>
          </w:tcPr>
          <w:p>
            <w:pPr>
              <w:spacing w:after="0"/>
              <w:rPr>
                <w:sz w:val="1"/>
                <w:szCs w:val="1"/>
                <w:color w:val="auto"/>
              </w:rPr>
            </w:pPr>
          </w:p>
        </w:tc>
      </w:tr>
      <w:tr>
        <w:trPr>
          <w:trHeight w:val="189"/>
        </w:trPr>
        <w:tc>
          <w:tcPr>
            <w:tcW w:w="5540" w:type="dxa"/>
            <w:vAlign w:val="bottom"/>
            <w:gridSpan w:val="3"/>
          </w:tcPr>
          <w:p>
            <w:pPr>
              <w:ind w:left="60"/>
              <w:spacing w:after="0" w:line="189" w:lineRule="exact"/>
              <w:rPr>
                <w:sz w:val="20"/>
                <w:szCs w:val="20"/>
                <w:color w:val="auto"/>
              </w:rPr>
            </w:pPr>
            <w:r>
              <w:rPr>
                <w:rFonts w:ascii="Arial" w:cs="Arial" w:eastAsia="Arial" w:hAnsi="Arial"/>
                <w:sz w:val="20"/>
                <w:szCs w:val="20"/>
                <w:b w:val="1"/>
                <w:bCs w:val="1"/>
                <w:i w:val="1"/>
                <w:iCs w:val="1"/>
                <w:color w:val="auto"/>
                <w:w w:val="93"/>
              </w:rPr>
              <w:t>collection, use and transfer, in electronic or other form, of the</w:t>
            </w:r>
          </w:p>
        </w:tc>
        <w:tc>
          <w:tcPr>
            <w:tcW w:w="5660" w:type="dxa"/>
            <w:vAlign w:val="bottom"/>
            <w:gridSpan w:val="4"/>
          </w:tcPr>
          <w:p>
            <w:pPr>
              <w:ind w:left="100"/>
              <w:spacing w:after="0" w:line="189" w:lineRule="exact"/>
              <w:rPr>
                <w:sz w:val="20"/>
                <w:szCs w:val="20"/>
                <w:color w:val="auto"/>
              </w:rPr>
            </w:pPr>
            <w:r>
              <w:rPr>
                <w:rFonts w:ascii="Arial" w:cs="Arial" w:eastAsia="Arial" w:hAnsi="Arial"/>
                <w:sz w:val="20"/>
                <w:szCs w:val="20"/>
                <w:b w:val="1"/>
                <w:bCs w:val="1"/>
                <w:i w:val="1"/>
                <w:iCs w:val="1"/>
                <w:color w:val="auto"/>
                <w:w w:val="89"/>
              </w:rPr>
              <w:t>mengizinkan pengumpulan, penggunaan dan pemindahan, dalam</w:t>
            </w:r>
          </w:p>
        </w:tc>
        <w:tc>
          <w:tcPr>
            <w:tcW w:w="0" w:type="dxa"/>
            <w:vAlign w:val="bottom"/>
          </w:tcPr>
          <w:p>
            <w:pPr>
              <w:spacing w:after="0"/>
              <w:rPr>
                <w:sz w:val="1"/>
                <w:szCs w:val="1"/>
                <w:color w:val="auto"/>
              </w:rPr>
            </w:pPr>
          </w:p>
        </w:tc>
      </w:tr>
      <w:tr>
        <w:trPr>
          <w:trHeight w:val="189"/>
        </w:trPr>
        <w:tc>
          <w:tcPr>
            <w:tcW w:w="5540" w:type="dxa"/>
            <w:vAlign w:val="bottom"/>
            <w:gridSpan w:val="3"/>
          </w:tcPr>
          <w:p>
            <w:pPr>
              <w:ind w:left="60"/>
              <w:spacing w:after="0" w:line="189" w:lineRule="exact"/>
              <w:rPr>
                <w:sz w:val="20"/>
                <w:szCs w:val="20"/>
                <w:color w:val="auto"/>
              </w:rPr>
            </w:pPr>
            <w:r>
              <w:rPr>
                <w:rFonts w:ascii="Arial" w:cs="Arial" w:eastAsia="Arial" w:hAnsi="Arial"/>
                <w:sz w:val="20"/>
                <w:szCs w:val="20"/>
                <w:b w:val="1"/>
                <w:bCs w:val="1"/>
                <w:i w:val="1"/>
                <w:iCs w:val="1"/>
                <w:color w:val="auto"/>
                <w:w w:val="85"/>
              </w:rPr>
              <w:t>Participant’s personal data as described in this Agreement and any</w:t>
            </w:r>
          </w:p>
        </w:tc>
        <w:tc>
          <w:tcPr>
            <w:tcW w:w="5660" w:type="dxa"/>
            <w:vAlign w:val="bottom"/>
            <w:gridSpan w:val="4"/>
          </w:tcPr>
          <w:p>
            <w:pPr>
              <w:ind w:left="100"/>
              <w:spacing w:after="0" w:line="189" w:lineRule="exact"/>
              <w:rPr>
                <w:sz w:val="20"/>
                <w:szCs w:val="20"/>
                <w:color w:val="auto"/>
              </w:rPr>
            </w:pPr>
            <w:r>
              <w:rPr>
                <w:rFonts w:ascii="Arial" w:cs="Arial" w:eastAsia="Arial" w:hAnsi="Arial"/>
                <w:sz w:val="20"/>
                <w:szCs w:val="20"/>
                <w:b w:val="1"/>
                <w:bCs w:val="1"/>
                <w:i w:val="1"/>
                <w:iCs w:val="1"/>
                <w:color w:val="auto"/>
                <w:w w:val="87"/>
              </w:rPr>
              <w:t>bentuk elektronik atau lain-lain, data peribadi Peserta seperti yang</w:t>
            </w:r>
          </w:p>
        </w:tc>
        <w:tc>
          <w:tcPr>
            <w:tcW w:w="0" w:type="dxa"/>
            <w:vAlign w:val="bottom"/>
          </w:tcPr>
          <w:p>
            <w:pPr>
              <w:spacing w:after="0"/>
              <w:rPr>
                <w:sz w:val="1"/>
                <w:szCs w:val="1"/>
                <w:color w:val="auto"/>
              </w:rPr>
            </w:pPr>
          </w:p>
        </w:tc>
      </w:tr>
      <w:tr>
        <w:trPr>
          <w:trHeight w:val="189"/>
        </w:trPr>
        <w:tc>
          <w:tcPr>
            <w:tcW w:w="5540" w:type="dxa"/>
            <w:vAlign w:val="bottom"/>
            <w:gridSpan w:val="3"/>
          </w:tcPr>
          <w:p>
            <w:pPr>
              <w:ind w:left="60"/>
              <w:spacing w:after="0" w:line="189" w:lineRule="exact"/>
              <w:rPr>
                <w:sz w:val="20"/>
                <w:szCs w:val="20"/>
                <w:color w:val="auto"/>
              </w:rPr>
            </w:pPr>
            <w:r>
              <w:rPr>
                <w:rFonts w:ascii="Arial" w:cs="Arial" w:eastAsia="Arial" w:hAnsi="Arial"/>
                <w:sz w:val="20"/>
                <w:szCs w:val="20"/>
                <w:b w:val="1"/>
                <w:bCs w:val="1"/>
                <w:i w:val="1"/>
                <w:iCs w:val="1"/>
                <w:color w:val="auto"/>
                <w:w w:val="90"/>
              </w:rPr>
              <w:t>other LTI Grant materials (“Data”) by and among, as applicable,</w:t>
            </w:r>
          </w:p>
        </w:tc>
        <w:tc>
          <w:tcPr>
            <w:tcW w:w="5660" w:type="dxa"/>
            <w:vAlign w:val="bottom"/>
            <w:gridSpan w:val="4"/>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diterangkan dalam Perjanjian ini serta mana-mana bahan-bahan</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720" w:type="dxa"/>
            <w:vAlign w:val="bottom"/>
            <w:vMerge w:val="restart"/>
          </w:tcPr>
          <w:p>
            <w:pPr>
              <w:spacing w:after="0" w:line="189" w:lineRule="exact"/>
              <w:rPr>
                <w:sz w:val="20"/>
                <w:szCs w:val="20"/>
                <w:color w:val="auto"/>
              </w:rPr>
            </w:pPr>
            <w:r>
              <w:rPr>
                <w:rFonts w:ascii="Arial" w:cs="Arial" w:eastAsia="Arial" w:hAnsi="Arial"/>
                <w:sz w:val="20"/>
                <w:szCs w:val="20"/>
                <w:b w:val="1"/>
                <w:bCs w:val="1"/>
                <w:i w:val="1"/>
                <w:iCs w:val="1"/>
                <w:color w:val="auto"/>
                <w:w w:val="81"/>
              </w:rPr>
              <w:t>Group for the exclusive purpose of</w:t>
            </w:r>
          </w:p>
        </w:tc>
        <w:tc>
          <w:tcPr>
            <w:tcW w:w="5660" w:type="dxa"/>
            <w:vAlign w:val="bottom"/>
            <w:gridSpan w:val="4"/>
            <w:vMerge w:val="restart"/>
          </w:tcPr>
          <w:p>
            <w:pPr>
              <w:ind w:left="100"/>
              <w:spacing w:after="0" w:line="189" w:lineRule="exact"/>
              <w:rPr>
                <w:sz w:val="20"/>
                <w:szCs w:val="20"/>
                <w:color w:val="auto"/>
              </w:rPr>
            </w:pPr>
            <w:r>
              <w:rPr>
                <w:rFonts w:ascii="Arial" w:cs="Arial" w:eastAsia="Arial" w:hAnsi="Arial"/>
                <w:sz w:val="20"/>
                <w:szCs w:val="20"/>
                <w:b w:val="1"/>
                <w:bCs w:val="1"/>
                <w:i w:val="1"/>
                <w:iCs w:val="1"/>
                <w:color w:val="auto"/>
                <w:w w:val="94"/>
              </w:rPr>
              <w:t>Geran  LTI  (“Data”)  oleh  dan  di  antara,  seperti  mana  yang</w:t>
            </w:r>
          </w:p>
        </w:tc>
        <w:tc>
          <w:tcPr>
            <w:tcW w:w="0" w:type="dxa"/>
            <w:vAlign w:val="bottom"/>
          </w:tcPr>
          <w:p>
            <w:pPr>
              <w:spacing w:after="0" w:line="20" w:lineRule="exact"/>
              <w:rPr>
                <w:sz w:val="1"/>
                <w:szCs w:val="1"/>
                <w:color w:val="auto"/>
              </w:rPr>
            </w:pPr>
          </w:p>
        </w:tc>
      </w:tr>
      <w:tr>
        <w:trPr>
          <w:trHeight w:val="162"/>
        </w:trPr>
        <w:tc>
          <w:tcPr>
            <w:tcW w:w="2820" w:type="dxa"/>
            <w:vAlign w:val="bottom"/>
            <w:gridSpan w:val="2"/>
          </w:tcPr>
          <w:p>
            <w:pPr>
              <w:ind w:left="60"/>
              <w:spacing w:after="0" w:line="162" w:lineRule="exact"/>
              <w:rPr>
                <w:sz w:val="20"/>
                <w:szCs w:val="20"/>
                <w:color w:val="auto"/>
              </w:rPr>
            </w:pPr>
            <w:r>
              <w:rPr>
                <w:rFonts w:ascii="Arial" w:cs="Arial" w:eastAsia="Arial" w:hAnsi="Arial"/>
                <w:sz w:val="18"/>
                <w:szCs w:val="18"/>
                <w:b w:val="1"/>
                <w:bCs w:val="1"/>
                <w:i w:val="1"/>
                <w:iCs w:val="1"/>
                <w:color w:val="auto"/>
              </w:rPr>
              <w:t>the Employer and the Mondelēz</w:t>
            </w:r>
          </w:p>
        </w:tc>
        <w:tc>
          <w:tcPr>
            <w:tcW w:w="2720" w:type="dxa"/>
            <w:vAlign w:val="bottom"/>
            <w:vMerge w:val="continue"/>
          </w:tcPr>
          <w:p>
            <w:pPr>
              <w:spacing w:after="0"/>
              <w:rPr>
                <w:sz w:val="14"/>
                <w:szCs w:val="14"/>
                <w:color w:val="auto"/>
              </w:rPr>
            </w:pPr>
          </w:p>
        </w:tc>
        <w:tc>
          <w:tcPr>
            <w:tcW w:w="5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540" w:type="dxa"/>
            <w:vAlign w:val="bottom"/>
            <w:gridSpan w:val="3"/>
            <w:vMerge w:val="restart"/>
          </w:tcPr>
          <w:p>
            <w:pPr>
              <w:ind w:left="60"/>
              <w:spacing w:after="0" w:line="189" w:lineRule="exact"/>
              <w:rPr>
                <w:sz w:val="20"/>
                <w:szCs w:val="20"/>
                <w:color w:val="auto"/>
              </w:rPr>
            </w:pPr>
            <w:r>
              <w:rPr>
                <w:rFonts w:ascii="Arial" w:cs="Arial" w:eastAsia="Arial" w:hAnsi="Arial"/>
                <w:sz w:val="20"/>
                <w:szCs w:val="20"/>
                <w:b w:val="1"/>
                <w:bCs w:val="1"/>
                <w:i w:val="1"/>
                <w:iCs w:val="1"/>
                <w:color w:val="auto"/>
                <w:w w:val="95"/>
              </w:rPr>
              <w:t>implementing, administering and managing the Participant’s</w:t>
            </w:r>
          </w:p>
        </w:tc>
        <w:tc>
          <w:tcPr>
            <w:tcW w:w="1340" w:type="dxa"/>
            <w:vAlign w:val="bottom"/>
            <w:gridSpan w:val="2"/>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540" w:type="dxa"/>
            <w:vAlign w:val="bottom"/>
            <w:gridSpan w:val="3"/>
            <w:vMerge w:val="continue"/>
          </w:tcPr>
          <w:p>
            <w:pPr>
              <w:spacing w:after="0"/>
              <w:rPr>
                <w:sz w:val="14"/>
                <w:szCs w:val="14"/>
                <w:color w:val="auto"/>
              </w:rPr>
            </w:pPr>
          </w:p>
        </w:tc>
        <w:tc>
          <w:tcPr>
            <w:tcW w:w="5660" w:type="dxa"/>
            <w:vAlign w:val="bottom"/>
            <w:gridSpan w:val="4"/>
          </w:tcPr>
          <w:p>
            <w:pPr>
              <w:ind w:left="100"/>
              <w:spacing w:after="0" w:line="162" w:lineRule="exact"/>
              <w:rPr>
                <w:sz w:val="20"/>
                <w:szCs w:val="20"/>
                <w:color w:val="auto"/>
              </w:rPr>
            </w:pPr>
            <w:r>
              <w:rPr>
                <w:rFonts w:ascii="Arial" w:cs="Arial" w:eastAsia="Arial" w:hAnsi="Arial"/>
                <w:sz w:val="18"/>
                <w:szCs w:val="18"/>
                <w:b w:val="1"/>
                <w:bCs w:val="1"/>
                <w:i w:val="1"/>
                <w:iCs w:val="1"/>
                <w:color w:val="auto"/>
                <w:w w:val="99"/>
              </w:rPr>
              <w:t>terpakai, Majikan serta Kumpulan Mondelez untuk tujuan ekslusif</w:t>
            </w:r>
          </w:p>
        </w:tc>
        <w:tc>
          <w:tcPr>
            <w:tcW w:w="0" w:type="dxa"/>
            <w:vAlign w:val="bottom"/>
          </w:tcPr>
          <w:p>
            <w:pPr>
              <w:spacing w:after="0"/>
              <w:rPr>
                <w:sz w:val="1"/>
                <w:szCs w:val="1"/>
                <w:color w:val="auto"/>
              </w:rPr>
            </w:pPr>
          </w:p>
        </w:tc>
      </w:tr>
      <w:tr>
        <w:trPr>
          <w:trHeight w:val="189"/>
        </w:trPr>
        <w:tc>
          <w:tcPr>
            <w:tcW w:w="5540" w:type="dxa"/>
            <w:vAlign w:val="bottom"/>
            <w:gridSpan w:val="3"/>
          </w:tcPr>
          <w:p>
            <w:pPr>
              <w:ind w:left="60"/>
              <w:spacing w:after="0" w:line="189" w:lineRule="exact"/>
              <w:rPr>
                <w:sz w:val="20"/>
                <w:szCs w:val="20"/>
                <w:color w:val="auto"/>
              </w:rPr>
            </w:pPr>
            <w:r>
              <w:rPr>
                <w:rFonts w:ascii="Arial" w:cs="Arial" w:eastAsia="Arial" w:hAnsi="Arial"/>
                <w:sz w:val="20"/>
                <w:szCs w:val="20"/>
                <w:b w:val="1"/>
                <w:bCs w:val="1"/>
                <w:i w:val="1"/>
                <w:iCs w:val="1"/>
                <w:color w:val="auto"/>
                <w:w w:val="91"/>
              </w:rPr>
              <w:t>participation in the Plan. The Data is supplied by the Employer</w:t>
            </w:r>
          </w:p>
        </w:tc>
        <w:tc>
          <w:tcPr>
            <w:tcW w:w="5660" w:type="dxa"/>
            <w:vAlign w:val="bottom"/>
            <w:gridSpan w:val="4"/>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bagi  melaksanakan,  mentadbir  dan  menguruskan  penyertaan</w:t>
            </w:r>
          </w:p>
        </w:tc>
        <w:tc>
          <w:tcPr>
            <w:tcW w:w="0" w:type="dxa"/>
            <w:vAlign w:val="bottom"/>
          </w:tcPr>
          <w:p>
            <w:pPr>
              <w:spacing w:after="0"/>
              <w:rPr>
                <w:sz w:val="1"/>
                <w:szCs w:val="1"/>
                <w:color w:val="auto"/>
              </w:rPr>
            </w:pPr>
          </w:p>
        </w:tc>
      </w:tr>
      <w:tr>
        <w:trPr>
          <w:trHeight w:val="189"/>
        </w:trPr>
        <w:tc>
          <w:tcPr>
            <w:tcW w:w="5540" w:type="dxa"/>
            <w:vAlign w:val="bottom"/>
            <w:gridSpan w:val="3"/>
          </w:tcPr>
          <w:p>
            <w:pPr>
              <w:ind w:left="60"/>
              <w:spacing w:after="0" w:line="189" w:lineRule="exact"/>
              <w:rPr>
                <w:sz w:val="20"/>
                <w:szCs w:val="20"/>
                <w:color w:val="auto"/>
              </w:rPr>
            </w:pPr>
            <w:r>
              <w:rPr>
                <w:rFonts w:ascii="Arial" w:cs="Arial" w:eastAsia="Arial" w:hAnsi="Arial"/>
                <w:sz w:val="20"/>
                <w:szCs w:val="20"/>
                <w:b w:val="1"/>
                <w:bCs w:val="1"/>
                <w:i w:val="1"/>
                <w:iCs w:val="1"/>
                <w:color w:val="auto"/>
                <w:w w:val="96"/>
              </w:rPr>
              <w:t>and also by the Participant through information collected in</w:t>
            </w:r>
          </w:p>
        </w:tc>
        <w:tc>
          <w:tcPr>
            <w:tcW w:w="5660" w:type="dxa"/>
            <w:vAlign w:val="bottom"/>
            <w:gridSpan w:val="4"/>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Peserta dalam Pelan. Data telah dibekalkan oleh pihak Majikan</w:t>
            </w:r>
          </w:p>
        </w:tc>
        <w:tc>
          <w:tcPr>
            <w:tcW w:w="0" w:type="dxa"/>
            <w:vAlign w:val="bottom"/>
          </w:tcPr>
          <w:p>
            <w:pPr>
              <w:spacing w:after="0"/>
              <w:rPr>
                <w:sz w:val="1"/>
                <w:szCs w:val="1"/>
                <w:color w:val="auto"/>
              </w:rPr>
            </w:pPr>
          </w:p>
        </w:tc>
      </w:tr>
      <w:tr>
        <w:trPr>
          <w:trHeight w:val="189"/>
        </w:trPr>
        <w:tc>
          <w:tcPr>
            <w:tcW w:w="5540" w:type="dxa"/>
            <w:vAlign w:val="bottom"/>
            <w:gridSpan w:val="3"/>
          </w:tcPr>
          <w:p>
            <w:pPr>
              <w:ind w:left="60"/>
              <w:spacing w:after="0" w:line="189" w:lineRule="exact"/>
              <w:rPr>
                <w:sz w:val="20"/>
                <w:szCs w:val="20"/>
                <w:color w:val="auto"/>
              </w:rPr>
            </w:pPr>
            <w:r>
              <w:rPr>
                <w:rFonts w:ascii="Arial" w:cs="Arial" w:eastAsia="Arial" w:hAnsi="Arial"/>
                <w:sz w:val="20"/>
                <w:szCs w:val="20"/>
                <w:b w:val="1"/>
                <w:bCs w:val="1"/>
                <w:i w:val="1"/>
                <w:iCs w:val="1"/>
                <w:color w:val="auto"/>
              </w:rPr>
              <w:t>connection with the Agreement and the Plan.</w:t>
            </w:r>
          </w:p>
        </w:tc>
        <w:tc>
          <w:tcPr>
            <w:tcW w:w="5660" w:type="dxa"/>
            <w:vAlign w:val="bottom"/>
            <w:gridSpan w:val="4"/>
          </w:tcPr>
          <w:p>
            <w:pPr>
              <w:ind w:left="100"/>
              <w:spacing w:after="0" w:line="189" w:lineRule="exact"/>
              <w:rPr>
                <w:sz w:val="20"/>
                <w:szCs w:val="20"/>
                <w:color w:val="auto"/>
              </w:rPr>
            </w:pPr>
            <w:r>
              <w:rPr>
                <w:rFonts w:ascii="Arial" w:cs="Arial" w:eastAsia="Arial" w:hAnsi="Arial"/>
                <w:sz w:val="20"/>
                <w:szCs w:val="20"/>
                <w:b w:val="1"/>
                <w:bCs w:val="1"/>
                <w:i w:val="1"/>
                <w:iCs w:val="1"/>
                <w:color w:val="auto"/>
                <w:w w:val="96"/>
              </w:rPr>
              <w:t>dan juga oleh Peserta melalui informasi yang telah dikumpul</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660" w:type="dxa"/>
            <w:vAlign w:val="bottom"/>
            <w:gridSpan w:val="4"/>
          </w:tcPr>
          <w:p>
            <w:pPr>
              <w:ind w:left="100"/>
              <w:spacing w:after="0" w:line="229" w:lineRule="exact"/>
              <w:rPr>
                <w:sz w:val="20"/>
                <w:szCs w:val="20"/>
                <w:color w:val="auto"/>
              </w:rPr>
            </w:pPr>
            <w:r>
              <w:rPr>
                <w:rFonts w:ascii="Arial" w:cs="Arial" w:eastAsia="Arial" w:hAnsi="Arial"/>
                <w:sz w:val="20"/>
                <w:szCs w:val="20"/>
                <w:b w:val="1"/>
                <w:bCs w:val="1"/>
                <w:i w:val="1"/>
                <w:iCs w:val="1"/>
                <w:color w:val="auto"/>
              </w:rPr>
              <w:t>berkaitan dengan Perjanjian dan Pelan.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7340600</wp:posOffset>
            </wp:positionH>
            <wp:positionV relativeFrom="page">
              <wp:posOffset>106045</wp:posOffset>
            </wp:positionV>
            <wp:extent cx="8255" cy="1714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3748405</wp:posOffset>
            </wp:positionH>
            <wp:positionV relativeFrom="page">
              <wp:posOffset>106045</wp:posOffset>
            </wp:positionV>
            <wp:extent cx="51435" cy="1714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9">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8890" cy="1714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-1207770</wp:posOffset>
            </wp:positionV>
            <wp:extent cx="8255"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-1190625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-1173480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-1156335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-1139190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-1122045</wp:posOffset>
            </wp:positionV>
            <wp:extent cx="8255"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-1104900</wp:posOffset>
            </wp:positionV>
            <wp:extent cx="8255" cy="825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-1087755</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-1070610</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-1053465</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-1036320</wp:posOffset>
            </wp:positionV>
            <wp:extent cx="8255"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-1019175</wp:posOffset>
            </wp:positionV>
            <wp:extent cx="8255"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-1002030</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-984885</wp:posOffset>
            </wp:positionV>
            <wp:extent cx="8255"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-967740</wp:posOffset>
            </wp:positionV>
            <wp:extent cx="8255"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-950595</wp:posOffset>
            </wp:positionV>
            <wp:extent cx="8255"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-933450</wp:posOffset>
            </wp:positionV>
            <wp:extent cx="8255"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-916305</wp:posOffset>
            </wp:positionV>
            <wp:extent cx="8255"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-899160</wp:posOffset>
            </wp:positionV>
            <wp:extent cx="8255"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-882015</wp:posOffset>
            </wp:positionV>
            <wp:extent cx="8255"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-864870</wp:posOffset>
            </wp:positionV>
            <wp:extent cx="8255"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-847725</wp:posOffset>
            </wp:positionV>
            <wp:extent cx="8255"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-830580</wp:posOffset>
            </wp:positionV>
            <wp:extent cx="8255"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-813435</wp:posOffset>
            </wp:positionV>
            <wp:extent cx="8255" cy="825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-796290</wp:posOffset>
            </wp:positionV>
            <wp:extent cx="8255"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-779145</wp:posOffset>
            </wp:positionV>
            <wp:extent cx="8255"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-762000</wp:posOffset>
            </wp:positionV>
            <wp:extent cx="8255"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-744855</wp:posOffset>
            </wp:positionV>
            <wp:extent cx="8255"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-727710</wp:posOffset>
            </wp:positionV>
            <wp:extent cx="8255"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-710565</wp:posOffset>
            </wp:positionV>
            <wp:extent cx="8255"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-693420</wp:posOffset>
            </wp:positionV>
            <wp:extent cx="8255"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-676275</wp:posOffset>
            </wp:positionV>
            <wp:extent cx="8255"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-659130</wp:posOffset>
            </wp:positionV>
            <wp:extent cx="8255"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-641985</wp:posOffset>
            </wp:positionV>
            <wp:extent cx="8255"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-624840</wp:posOffset>
            </wp:positionV>
            <wp:extent cx="8255"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-607695</wp:posOffset>
            </wp:positionV>
            <wp:extent cx="8255"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-590550</wp:posOffset>
            </wp:positionV>
            <wp:extent cx="8255"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-573405</wp:posOffset>
            </wp:positionV>
            <wp:extent cx="8255"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-556260</wp:posOffset>
            </wp:positionV>
            <wp:extent cx="8255"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-539115</wp:posOffset>
            </wp:positionV>
            <wp:extent cx="8255"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-521970</wp:posOffset>
            </wp:positionV>
            <wp:extent cx="8255"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-504825</wp:posOffset>
            </wp:positionV>
            <wp:extent cx="8255"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-487680</wp:posOffset>
            </wp:positionV>
            <wp:extent cx="8255"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-470535</wp:posOffset>
            </wp:positionV>
            <wp:extent cx="8255"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-453390</wp:posOffset>
            </wp:positionV>
            <wp:extent cx="8255"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-436245</wp:posOffset>
            </wp:positionV>
            <wp:extent cx="8255"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-419100</wp:posOffset>
            </wp:positionV>
            <wp:extent cx="8255"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-401955</wp:posOffset>
            </wp:positionV>
            <wp:extent cx="8255"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-384810</wp:posOffset>
            </wp:positionV>
            <wp:extent cx="8255"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-367665</wp:posOffset>
            </wp:positionV>
            <wp:extent cx="8255"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-350520</wp:posOffset>
            </wp:positionV>
            <wp:extent cx="8255"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-333375</wp:posOffset>
            </wp:positionV>
            <wp:extent cx="8255"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-316230</wp:posOffset>
            </wp:positionV>
            <wp:extent cx="8255"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-299085</wp:posOffset>
            </wp:positionV>
            <wp:extent cx="8255"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-281940</wp:posOffset>
            </wp:positionV>
            <wp:extent cx="8255"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-264795</wp:posOffset>
            </wp:positionV>
            <wp:extent cx="8255"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-247650</wp:posOffset>
            </wp:positionV>
            <wp:extent cx="8255" cy="825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-230505</wp:posOffset>
            </wp:positionV>
            <wp:extent cx="8255"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-213360</wp:posOffset>
            </wp:positionV>
            <wp:extent cx="8255"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-196215</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-179070</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-161925</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-144780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-127635</wp:posOffset>
            </wp:positionV>
            <wp:extent cx="8255"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-110490</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-93345</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-76200</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-59055</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-41910</wp:posOffset>
            </wp:positionV>
            <wp:extent cx="8255"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-24765</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-7620</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-1207770</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8890"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-1156335</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8890"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8890"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8890"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889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-1002030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8890"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8890"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8890"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-916305</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-899160</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8890"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8890"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8890"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889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-744855</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8890"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8890"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889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8890"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8890"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8890"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8890"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889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8890"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8890"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8890"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8890"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8890"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889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8890"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8890"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-1207770</wp:posOffset>
            </wp:positionV>
            <wp:extent cx="889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-1190625</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-1173480</wp:posOffset>
            </wp:positionV>
            <wp:extent cx="8890"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-1156335</wp:posOffset>
            </wp:positionV>
            <wp:extent cx="8890"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-1139190</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-1122045</wp:posOffset>
            </wp:positionV>
            <wp:extent cx="889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-1104900</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-1087755</wp:posOffset>
            </wp:positionV>
            <wp:extent cx="8890"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-1070610</wp:posOffset>
            </wp:positionV>
            <wp:extent cx="8890"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-1053465</wp:posOffset>
            </wp:positionV>
            <wp:extent cx="8890"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-1036320</wp:posOffset>
            </wp:positionV>
            <wp:extent cx="889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-1019175</wp:posOffset>
            </wp:positionV>
            <wp:extent cx="8890"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-1002030</wp:posOffset>
            </wp:positionV>
            <wp:extent cx="8890"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-984885</wp:posOffset>
            </wp:positionV>
            <wp:extent cx="8890"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-967740</wp:posOffset>
            </wp:positionV>
            <wp:extent cx="8890" cy="825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-950595</wp:posOffset>
            </wp:positionV>
            <wp:extent cx="889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-933450</wp:posOffset>
            </wp:positionV>
            <wp:extent cx="8890"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-916305</wp:posOffset>
            </wp:positionV>
            <wp:extent cx="8890"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-899160</wp:posOffset>
            </wp:positionV>
            <wp:extent cx="8890"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-882015</wp:posOffset>
            </wp:positionV>
            <wp:extent cx="8890" cy="825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-864870</wp:posOffset>
            </wp:positionV>
            <wp:extent cx="88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-847725</wp:posOffset>
            </wp:positionV>
            <wp:extent cx="8890"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-830580</wp:posOffset>
            </wp:positionV>
            <wp:extent cx="8890"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-813435</wp:posOffset>
            </wp:positionV>
            <wp:extent cx="8890"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-796290</wp:posOffset>
            </wp:positionV>
            <wp:extent cx="8890" cy="825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-779145</wp:posOffset>
            </wp:positionV>
            <wp:extent cx="889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-762000</wp:posOffset>
            </wp:positionV>
            <wp:extent cx="8890"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-744855</wp:posOffset>
            </wp:positionV>
            <wp:extent cx="8890"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-727710</wp:posOffset>
            </wp:positionV>
            <wp:extent cx="8890"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-710565</wp:posOffset>
            </wp:positionV>
            <wp:extent cx="8890" cy="825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-693420</wp:posOffset>
            </wp:positionV>
            <wp:extent cx="889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-676275</wp:posOffset>
            </wp:positionV>
            <wp:extent cx="8890"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-659130</wp:posOffset>
            </wp:positionV>
            <wp:extent cx="8890"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-641985</wp:posOffset>
            </wp:positionV>
            <wp:extent cx="889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-624840</wp:posOffset>
            </wp:positionV>
            <wp:extent cx="8890" cy="8255"/>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-607695</wp:posOffset>
            </wp:positionV>
            <wp:extent cx="8890" cy="825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-590550</wp:posOffset>
            </wp:positionV>
            <wp:extent cx="8890"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-573405</wp:posOffset>
            </wp:positionV>
            <wp:extent cx="8890"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-556260</wp:posOffset>
            </wp:positionV>
            <wp:extent cx="88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-539115</wp:posOffset>
            </wp:positionV>
            <wp:extent cx="889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-521970</wp:posOffset>
            </wp:positionV>
            <wp:extent cx="8890" cy="825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-504825</wp:posOffset>
            </wp:positionV>
            <wp:extent cx="8890"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-487680</wp:posOffset>
            </wp:positionV>
            <wp:extent cx="8890"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-470535</wp:posOffset>
            </wp:positionV>
            <wp:extent cx="889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-453390</wp:posOffset>
            </wp:positionV>
            <wp:extent cx="8890" cy="825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-436245</wp:posOffset>
            </wp:positionV>
            <wp:extent cx="8890"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-419100</wp:posOffset>
            </wp:positionV>
            <wp:extent cx="8890"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-401955</wp:posOffset>
            </wp:positionV>
            <wp:extent cx="8890"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-384810</wp:posOffset>
            </wp:positionV>
            <wp:extent cx="889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-367665</wp:posOffset>
            </wp:positionV>
            <wp:extent cx="8890" cy="825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-350520</wp:posOffset>
            </wp:positionV>
            <wp:extent cx="8890"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-333375</wp:posOffset>
            </wp:positionV>
            <wp:extent cx="8890"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-316230</wp:posOffset>
            </wp:positionV>
            <wp:extent cx="8890"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-299085</wp:posOffset>
            </wp:positionV>
            <wp:extent cx="889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-281940</wp:posOffset>
            </wp:positionV>
            <wp:extent cx="8890" cy="825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-264795</wp:posOffset>
            </wp:positionV>
            <wp:extent cx="8890"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-247650</wp:posOffset>
            </wp:positionV>
            <wp:extent cx="8890"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-230505</wp:posOffset>
            </wp:positionV>
            <wp:extent cx="8890"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-213360</wp:posOffset>
            </wp:positionV>
            <wp:extent cx="889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-196215</wp:posOffset>
            </wp:positionV>
            <wp:extent cx="8890" cy="825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-179070</wp:posOffset>
            </wp:positionV>
            <wp:extent cx="8890"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-161925</wp:posOffset>
            </wp:positionV>
            <wp:extent cx="8890"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-144780</wp:posOffset>
            </wp:positionV>
            <wp:extent cx="8890"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-127635</wp:posOffset>
            </wp:positionV>
            <wp:extent cx="889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-110490</wp:posOffset>
            </wp:positionV>
            <wp:extent cx="8890" cy="825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-93345</wp:posOffset>
            </wp:positionV>
            <wp:extent cx="8890"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-76200</wp:posOffset>
            </wp:positionV>
            <wp:extent cx="8890"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-59055</wp:posOffset>
            </wp:positionV>
            <wp:extent cx="8890"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-41910</wp:posOffset>
            </wp:positionV>
            <wp:extent cx="88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8890" cy="825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8890"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220"/>
          </w:cols>
          <w:pgMar w:left="320" w:top="166" w:right="359" w:bottom="0" w:gutter="0" w:footer="0" w:header="0"/>
        </w:sectPr>
      </w:pPr>
    </w:p>
    <w:p>
      <w:pPr>
        <w:ind w:left="80"/>
        <w:spacing w:after="0" w:line="253" w:lineRule="auto"/>
        <w:rPr>
          <w:sz w:val="20"/>
          <w:szCs w:val="20"/>
          <w:color w:val="auto"/>
        </w:rPr>
      </w:pPr>
      <w:r>
        <w:rPr>
          <w:rFonts w:ascii="Arial" w:cs="Arial" w:eastAsia="Arial" w:hAnsi="Arial"/>
          <w:sz w:val="16"/>
          <w:szCs w:val="16"/>
          <w:b w:val="1"/>
          <w:bCs w:val="1"/>
          <w:i w:val="1"/>
          <w:iCs w:val="1"/>
          <w:color w:val="auto"/>
        </w:rPr>
        <w:t>The Participant understands that the Company and the Employer may hold certain personal information about the Participant, including, but not limited to, the Participant’s name, home address, email address and telephone number, date of birth, social insurance number, passport or other identification number, salary, nationality, job title, any shares of stock or directorships held in the Company, details of all LTI Grants or any other entitlement to shares of stock awarded, canceled, exercised, vested, unvested or outstanding in the Participant’s favor, for the exclusive purpose of implementing, administering and managing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-1221740</wp:posOffset>
            </wp:positionV>
            <wp:extent cx="8890"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-1204595</wp:posOffset>
            </wp:positionV>
            <wp:extent cx="8890"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-1187450</wp:posOffset>
            </wp:positionV>
            <wp:extent cx="889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-1170305</wp:posOffset>
            </wp:positionV>
            <wp:extent cx="8890" cy="825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-1153160</wp:posOffset>
            </wp:positionV>
            <wp:extent cx="8890"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-1136015</wp:posOffset>
            </wp:positionV>
            <wp:extent cx="8890"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-1118870</wp:posOffset>
            </wp:positionV>
            <wp:extent cx="8890"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-1101725</wp:posOffset>
            </wp:positionV>
            <wp:extent cx="889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-1084580</wp:posOffset>
            </wp:positionV>
            <wp:extent cx="8890" cy="825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-1067435</wp:posOffset>
            </wp:positionV>
            <wp:extent cx="8890"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-1050290</wp:posOffset>
            </wp:positionV>
            <wp:extent cx="8890"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-1033145</wp:posOffset>
            </wp:positionV>
            <wp:extent cx="8890"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88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-998855</wp:posOffset>
            </wp:positionV>
            <wp:extent cx="8890" cy="825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-981710</wp:posOffset>
            </wp:positionV>
            <wp:extent cx="8890"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-964565</wp:posOffset>
            </wp:positionV>
            <wp:extent cx="8890"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-947420</wp:posOffset>
            </wp:positionV>
            <wp:extent cx="889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-930275</wp:posOffset>
            </wp:positionV>
            <wp:extent cx="889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-913130</wp:posOffset>
            </wp:positionV>
            <wp:extent cx="8890"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-895985</wp:posOffset>
            </wp:positionV>
            <wp:extent cx="8890"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-878840</wp:posOffset>
            </wp:positionV>
            <wp:extent cx="8890"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-861695</wp:posOffset>
            </wp:positionV>
            <wp:extent cx="8890" cy="825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-844550</wp:posOffset>
            </wp:positionV>
            <wp:extent cx="889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-827405</wp:posOffset>
            </wp:positionV>
            <wp:extent cx="8890"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-810260</wp:posOffset>
            </wp:positionV>
            <wp:extent cx="8890"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-793115</wp:posOffset>
            </wp:positionV>
            <wp:extent cx="8890"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-775970</wp:posOffset>
            </wp:positionV>
            <wp:extent cx="8890" cy="825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88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-741680</wp:posOffset>
            </wp:positionV>
            <wp:extent cx="8890"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8890"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-707390</wp:posOffset>
            </wp:positionV>
            <wp:extent cx="8890"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-690245</wp:posOffset>
            </wp:positionV>
            <wp:extent cx="8890" cy="825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-673100</wp:posOffset>
            </wp:positionV>
            <wp:extent cx="889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8890"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-638810</wp:posOffset>
            </wp:positionV>
            <wp:extent cx="8890"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8890"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-604520</wp:posOffset>
            </wp:positionV>
            <wp:extent cx="8890" cy="825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-587375</wp:posOffset>
            </wp:positionV>
            <wp:extent cx="889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-570230</wp:posOffset>
            </wp:positionV>
            <wp:extent cx="8890"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8890"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-535940</wp:posOffset>
            </wp:positionV>
            <wp:extent cx="8890"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8890" cy="825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8890" cy="825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8890"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-467360</wp:posOffset>
            </wp:positionV>
            <wp:extent cx="8890"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88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8890" cy="825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-415925</wp:posOffset>
            </wp:positionV>
            <wp:extent cx="8890" cy="825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8890"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8890"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889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8890" cy="825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8890" cy="825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8890"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8890"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889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8890"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8890"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8890"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8890"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88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8890"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8890"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8890"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8890"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889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8890"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8890"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8890"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8890"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889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8890"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8890"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88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8890" cy="825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30" w:lineRule="exact"/>
        <w:rPr>
          <w:sz w:val="20"/>
          <w:szCs w:val="20"/>
          <w:color w:val="auto"/>
        </w:rPr>
      </w:pPr>
    </w:p>
    <w:p>
      <w:pPr>
        <w:ind w:left="80" w:right="20"/>
        <w:spacing w:after="0" w:line="248"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at Mondelez Malaysia Sales Sdn Bhd, Lot 9.01 Level 9, 1 First Avenue, 2A, Dataran Bandar Utama, Bandar Utama Damasara, 47800 Petaling Jaya, Selangor, Malaysia. The Participant authorizes the Company, UBS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-5671185</wp:posOffset>
            </wp:positionV>
            <wp:extent cx="3531870" cy="727773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1">
                      <a:extLst>
                        <a:ext uri="{28A0092B-C50C-407E-A947-70E740481C1C}"/>
                      </a:extLst>
                    </a:blip>
                    <a:srcRect/>
                    <a:stretch>
                      <a:fillRect/>
                    </a:stretch>
                  </pic:blipFill>
                  <pic:spPr bwMode="auto">
                    <a:xfrm>
                      <a:off x="0" y="0"/>
                      <a:ext cx="3531870" cy="7277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40"/>
        <w:spacing w:after="0" w:line="255" w:lineRule="auto"/>
        <w:rPr>
          <w:sz w:val="20"/>
          <w:szCs w:val="20"/>
          <w:color w:val="auto"/>
        </w:rPr>
      </w:pPr>
      <w:r>
        <w:rPr>
          <w:rFonts w:ascii="Arial" w:cs="Arial" w:eastAsia="Arial" w:hAnsi="Arial"/>
          <w:sz w:val="16"/>
          <w:szCs w:val="16"/>
          <w:b w:val="1"/>
          <w:bCs w:val="1"/>
          <w:i w:val="1"/>
          <w:iCs w:val="1"/>
          <w:color w:val="auto"/>
        </w:rPr>
        <w:t>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ataupun yang belum dijelaskan bagi faedah Peserta, untuk tujuan eksklusif bagi melaksanakan, mentadbir dan menguruskan Pelan tersebut.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-1465580</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-1448435</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-1431290</wp:posOffset>
            </wp:positionV>
            <wp:extent cx="825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-1414145</wp:posOffset>
            </wp:positionV>
            <wp:extent cx="8255" cy="825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-1397000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-1379855</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-1362710</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-1345565</wp:posOffset>
            </wp:positionV>
            <wp:extent cx="8255"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-1328420</wp:posOffset>
            </wp:positionV>
            <wp:extent cx="8255"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-1311275</wp:posOffset>
            </wp:positionV>
            <wp:extent cx="8255"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-1294130</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-1276985</wp:posOffset>
            </wp:positionV>
            <wp:extent cx="8255" cy="825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-1259840</wp:posOffset>
            </wp:positionV>
            <wp:extent cx="8255"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-1242695</wp:posOffset>
            </wp:positionV>
            <wp:extent cx="8255"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-1225550</wp:posOffset>
            </wp:positionV>
            <wp:extent cx="8255"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-1208405</wp:posOffset>
            </wp:positionV>
            <wp:extent cx="8255"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-1191260</wp:posOffset>
            </wp:positionV>
            <wp:extent cx="8255" cy="825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-1174115</wp:posOffset>
            </wp:positionV>
            <wp:extent cx="8255"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-1156970</wp:posOffset>
            </wp:positionV>
            <wp:extent cx="8255"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-1139825</wp:posOffset>
            </wp:positionV>
            <wp:extent cx="8255"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-1122680</wp:posOffset>
            </wp:positionV>
            <wp:extent cx="8255"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-1105535</wp:posOffset>
            </wp:positionV>
            <wp:extent cx="8255" cy="825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-1088390</wp:posOffset>
            </wp:positionV>
            <wp:extent cx="8255"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-1071245</wp:posOffset>
            </wp:positionV>
            <wp:extent cx="8255"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-1054100</wp:posOffset>
            </wp:positionV>
            <wp:extent cx="8255"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-1036955</wp:posOffset>
            </wp:positionV>
            <wp:extent cx="8255"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-1019810</wp:posOffset>
            </wp:positionV>
            <wp:extent cx="8255" cy="825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-1002665</wp:posOffset>
            </wp:positionV>
            <wp:extent cx="8255"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-985520</wp:posOffset>
            </wp:positionV>
            <wp:extent cx="8255"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-968375</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-951230</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-934085</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-916940</wp:posOffset>
            </wp:positionV>
            <wp:extent cx="8255"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-899795</wp:posOffset>
            </wp:positionV>
            <wp:extent cx="8255"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-882650</wp:posOffset>
            </wp:positionV>
            <wp:extent cx="8255"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-865505</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-848360</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-831215</wp:posOffset>
            </wp:positionV>
            <wp:extent cx="8255"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-814070</wp:posOffset>
            </wp:positionV>
            <wp:extent cx="8255"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-796925</wp:posOffset>
            </wp:positionV>
            <wp:extent cx="8255"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-779780</wp:posOffset>
            </wp:positionV>
            <wp:extent cx="8255"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-762635</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-745490</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-728345</wp:posOffset>
            </wp:positionV>
            <wp:extent cx="8255"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-711200</wp:posOffset>
            </wp:positionV>
            <wp:extent cx="8255"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-694055</wp:posOffset>
            </wp:positionV>
            <wp:extent cx="825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-676910</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-659765</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-642620</wp:posOffset>
            </wp:positionV>
            <wp:extent cx="8255"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-625475</wp:posOffset>
            </wp:positionV>
            <wp:extent cx="8255"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-608330</wp:posOffset>
            </wp:positionV>
            <wp:extent cx="8255"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-591185</wp:posOffset>
            </wp:positionV>
            <wp:extent cx="8255"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-574040</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-556895</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-539750</wp:posOffset>
            </wp:positionV>
            <wp:extent cx="8255"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-522605</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-505460</wp:posOffset>
            </wp:positionV>
            <wp:extent cx="8255" cy="825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-488315</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-471170</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-454025</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-436880</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-419735</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-402590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-385445</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-368300</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-351155</wp:posOffset>
            </wp:positionV>
            <wp:extent cx="8255"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-334010</wp:posOffset>
            </wp:positionV>
            <wp:extent cx="8255" cy="825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-316865</wp:posOffset>
            </wp:positionV>
            <wp:extent cx="8255"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-299720</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-282575</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-265430</wp:posOffset>
            </wp:positionV>
            <wp:extent cx="8255"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-248285</wp:posOffset>
            </wp:positionV>
            <wp:extent cx="8255" cy="825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-231140</wp:posOffset>
            </wp:positionV>
            <wp:extent cx="8255"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-213995</wp:posOffset>
            </wp:positionV>
            <wp:extent cx="8255"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-196850</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-179705</wp:posOffset>
            </wp:positionV>
            <wp:extent cx="8255"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-162560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-145415</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-128270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-111125</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-93980</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-76835</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-59690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-42545</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-25400</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-8255</wp:posOffset>
            </wp:positionV>
            <wp:extent cx="8255"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8255</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25400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42545</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59690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76835</wp:posOffset>
            </wp:positionV>
            <wp:extent cx="8255"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-1465580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-1448435</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-1431290</wp:posOffset>
            </wp:positionV>
            <wp:extent cx="88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-1414145</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-1397000</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-1379855</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-1362710</wp:posOffset>
            </wp:positionV>
            <wp:extent cx="8890"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-1345565</wp:posOffset>
            </wp:positionV>
            <wp:extent cx="889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-1328420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-1311275</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-1294130</wp:posOffset>
            </wp:positionV>
            <wp:extent cx="8890"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-1276985</wp:posOffset>
            </wp:positionV>
            <wp:extent cx="8890"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-1259840</wp:posOffset>
            </wp:positionV>
            <wp:extent cx="889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-1242695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-1225550</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-1208405</wp:posOffset>
            </wp:positionV>
            <wp:extent cx="8890"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-1191260</wp:posOffset>
            </wp:positionV>
            <wp:extent cx="8890"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-1174115</wp:posOffset>
            </wp:positionV>
            <wp:extent cx="88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-1156970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-1139825</wp:posOffset>
            </wp:positionV>
            <wp:extent cx="8890"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-1122680</wp:posOffset>
            </wp:positionV>
            <wp:extent cx="8890"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-1105535</wp:posOffset>
            </wp:positionV>
            <wp:extent cx="8890"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-1088390</wp:posOffset>
            </wp:positionV>
            <wp:extent cx="889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-1071245</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-1054100</wp:posOffset>
            </wp:positionV>
            <wp:extent cx="889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-1036955</wp:posOffset>
            </wp:positionV>
            <wp:extent cx="8890"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-1019810</wp:posOffset>
            </wp:positionV>
            <wp:extent cx="8890"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-1002665</wp:posOffset>
            </wp:positionV>
            <wp:extent cx="889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-985520</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-968375</wp:posOffset>
            </wp:positionV>
            <wp:extent cx="889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-951230</wp:posOffset>
            </wp:positionV>
            <wp:extent cx="8890"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-934085</wp:posOffset>
            </wp:positionV>
            <wp:extent cx="8890"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-916940</wp:posOffset>
            </wp:positionV>
            <wp:extent cx="889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-899795</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-882650</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-865505</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-848360</wp:posOffset>
            </wp:positionV>
            <wp:extent cx="8890"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-831215</wp:posOffset>
            </wp:positionV>
            <wp:extent cx="889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-814070</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-796925</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-779780</wp:posOffset>
            </wp:positionV>
            <wp:extent cx="8890"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-762635</wp:posOffset>
            </wp:positionV>
            <wp:extent cx="8890"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-745490</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-728345</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-711200</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-694055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-676910</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-659765</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-642620</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-625475</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-608330</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-591185</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-574040</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-556895</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-539750</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-522605</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-505460</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-488315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-471170</wp:posOffset>
            </wp:positionV>
            <wp:extent cx="88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-454025</wp:posOffset>
            </wp:positionV>
            <wp:extent cx="8890"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-436880</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-419735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-402590</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-385445</wp:posOffset>
            </wp:positionV>
            <wp:extent cx="88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-368300</wp:posOffset>
            </wp:positionV>
            <wp:extent cx="8890"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-351155</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-334010</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-316865</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-299720</wp:posOffset>
            </wp:positionV>
            <wp:extent cx="88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-282575</wp:posOffset>
            </wp:positionV>
            <wp:extent cx="8890"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-265430</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-248285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-231140</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-213995</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-196850</wp:posOffset>
            </wp:positionV>
            <wp:extent cx="8890"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-179705</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-162560</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-145415</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-128270</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-111125</wp:posOffset>
            </wp:positionV>
            <wp:extent cx="8890" cy="8255"/>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-93980</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-76835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-59690</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-42545</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-25400</wp:posOffset>
            </wp:positionV>
            <wp:extent cx="889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-8255</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8255</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25400</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42545</wp:posOffset>
            </wp:positionV>
            <wp:extent cx="8890"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59690</wp:posOffset>
            </wp:positionV>
            <wp:extent cx="8890"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76835</wp:posOffset>
            </wp:positionV>
            <wp:extent cx="889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25" w:lineRule="exact"/>
        <w:rPr>
          <w:sz w:val="20"/>
          <w:szCs w:val="20"/>
          <w:color w:val="auto"/>
        </w:rPr>
      </w:pPr>
    </w:p>
    <w:p>
      <w:pPr>
        <w:jc w:val="both"/>
        <w:ind w:right="40"/>
        <w:spacing w:after="0" w:line="222" w:lineRule="auto"/>
        <w:rPr>
          <w:sz w:val="20"/>
          <w:szCs w:val="20"/>
          <w:color w:val="auto"/>
        </w:rPr>
      </w:pPr>
      <w:r>
        <w:rPr>
          <w:rFonts w:ascii="Arial" w:cs="Arial" w:eastAsia="Arial" w:hAnsi="Arial"/>
          <w:sz w:val="18"/>
          <w:szCs w:val="18"/>
          <w:b w:val="1"/>
          <w:bCs w:val="1"/>
          <w:i w:val="1"/>
          <w:iCs w:val="1"/>
          <w:color w:val="auto"/>
        </w:rPr>
        <w:t>Peserta memahami bahawa Data tersebut akan dipindahkan ke UBS Financial Services, Inc. (“</w:t>
      </w:r>
      <w:r>
        <w:rPr>
          <w:rFonts w:ascii="Arial" w:cs="Arial" w:eastAsia="Arial" w:hAnsi="Arial"/>
          <w:sz w:val="18"/>
          <w:szCs w:val="18"/>
          <w:b w:val="1"/>
          <w:bCs w:val="1"/>
          <w:i w:val="1"/>
          <w:iCs w:val="1"/>
          <w:u w:val="single" w:color="auto"/>
          <w:color w:val="auto"/>
        </w:rPr>
        <w:t>UBS</w:t>
      </w:r>
      <w:r>
        <w:rPr>
          <w:rFonts w:ascii="Arial" w:cs="Arial" w:eastAsia="Arial" w:hAnsi="Arial"/>
          <w:sz w:val="18"/>
          <w:szCs w:val="18"/>
          <w:b w:val="1"/>
          <w:bCs w:val="1"/>
          <w:i w:val="1"/>
          <w:iCs w:val="1"/>
          <w:color w:val="auto"/>
        </w:rPr>
        <w:t>”) atau pembekal perkhidmatan pelan saham lain yang mungkin dipilih oleh Syarikat pada masa hadapan, yang membantu Syarikat melaksanakan, mentadbir dan menguruskan Pelan tersebut. Peserta memahami bahawa Data juga mungkin dipindahkan kepada firma akauntansi awam berdaftar bebas Syarikat, PricewaterhouseCoopers LLP, atau firma akauntansi awam lain yang mungkin digunakan 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Malaysia Sales Sdn Bhd, Lot 9.01 Level 9, 1 First Avenue, 2A, Dataran Bandar Utama, Bandar Utama Damasara, 47800 Petaling Jaya, Selangor, Malaysia.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-2428875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-2411730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-2394585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-2377440</wp:posOffset>
            </wp:positionV>
            <wp:extent cx="8255" cy="825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-2360295</wp:posOffset>
            </wp:positionV>
            <wp:extent cx="8255"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-2343150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-2326005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-2308860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-2291715</wp:posOffset>
            </wp:positionV>
            <wp:extent cx="8255" cy="825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-2274570</wp:posOffset>
            </wp:positionV>
            <wp:extent cx="8255"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-2257425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-2240280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-2223135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-2205990</wp:posOffset>
            </wp:positionV>
            <wp:extent cx="8255" cy="825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-2188845</wp:posOffset>
            </wp:positionV>
            <wp:extent cx="8255"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-2171700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-2154555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-2137410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-2120265</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-2103120</wp:posOffset>
            </wp:positionV>
            <wp:extent cx="8255"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-2085975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-2068830</wp:posOffset>
            </wp:positionV>
            <wp:extent cx="8255"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-2051685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-2034540</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-2017395</wp:posOffset>
            </wp:positionV>
            <wp:extent cx="8255"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-2000250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-1983105</wp:posOffset>
            </wp:positionV>
            <wp:extent cx="8255"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-1965960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-1948815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-1931670</wp:posOffset>
            </wp:positionV>
            <wp:extent cx="8255"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-1914525</wp:posOffset>
            </wp:positionV>
            <wp:extent cx="8255"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-1897380</wp:posOffset>
            </wp:positionV>
            <wp:extent cx="8255"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-1880235</wp:posOffset>
            </wp:positionV>
            <wp:extent cx="8255"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-1863090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-1845945</wp:posOffset>
            </wp:positionV>
            <wp:extent cx="8255"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-1828800</wp:posOffset>
            </wp:positionV>
            <wp:extent cx="8255"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-1811655</wp:posOffset>
            </wp:positionV>
            <wp:extent cx="8255"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-1794510</wp:posOffset>
            </wp:positionV>
            <wp:extent cx="8255"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-1777365</wp:posOffset>
            </wp:positionV>
            <wp:extent cx="8255"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-1760220</wp:posOffset>
            </wp:positionV>
            <wp:extent cx="8255"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-1743075</wp:posOffset>
            </wp:positionV>
            <wp:extent cx="8255"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-1725930</wp:posOffset>
            </wp:positionV>
            <wp:extent cx="8255"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-1708785</wp:posOffset>
            </wp:positionV>
            <wp:extent cx="8255"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-1691640</wp:posOffset>
            </wp:positionV>
            <wp:extent cx="8255"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-1674495</wp:posOffset>
            </wp:positionV>
            <wp:extent cx="8255"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-1657350</wp:posOffset>
            </wp:positionV>
            <wp:extent cx="8255"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-1640205</wp:posOffset>
            </wp:positionV>
            <wp:extent cx="8255"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-1623060</wp:posOffset>
            </wp:positionV>
            <wp:extent cx="8255"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-1605915</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-1588770</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-1571625</wp:posOffset>
            </wp:positionV>
            <wp:extent cx="8255"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-1554480</wp:posOffset>
            </wp:positionV>
            <wp:extent cx="8255"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-1537335</wp:posOffset>
            </wp:positionV>
            <wp:extent cx="8255"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-1520190</wp:posOffset>
            </wp:positionV>
            <wp:extent cx="8255"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-1503045</wp:posOffset>
            </wp:positionV>
            <wp:extent cx="8255"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-1485900</wp:posOffset>
            </wp:positionV>
            <wp:extent cx="8255"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-1468755</wp:posOffset>
            </wp:positionV>
            <wp:extent cx="8255"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-1451610</wp:posOffset>
            </wp:positionV>
            <wp:extent cx="8255"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-1434465</wp:posOffset>
            </wp:positionV>
            <wp:extent cx="8255"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-1417320</wp:posOffset>
            </wp:positionV>
            <wp:extent cx="8255"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-1400175</wp:posOffset>
            </wp:positionV>
            <wp:extent cx="8255"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-1383030</wp:posOffset>
            </wp:positionV>
            <wp:extent cx="8255"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-1365885</wp:posOffset>
            </wp:positionV>
            <wp:extent cx="8255"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-1348740</wp:posOffset>
            </wp:positionV>
            <wp:extent cx="8255"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-1331595</wp:posOffset>
            </wp:positionV>
            <wp:extent cx="8255"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-1314450</wp:posOffset>
            </wp:positionV>
            <wp:extent cx="8255"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-1297305</wp:posOffset>
            </wp:positionV>
            <wp:extent cx="8255"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-1280160</wp:posOffset>
            </wp:positionV>
            <wp:extent cx="8255"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-1263015</wp:posOffset>
            </wp:positionV>
            <wp:extent cx="8255"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-1245870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-1228725</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-1211580</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-1194435</wp:posOffset>
            </wp:positionV>
            <wp:extent cx="8255"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-1177290</wp:posOffset>
            </wp:positionV>
            <wp:extent cx="8255" cy="825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-1160145</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-1143000</wp:posOffset>
            </wp:positionV>
            <wp:extent cx="8255"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-1125855</wp:posOffset>
            </wp:positionV>
            <wp:extent cx="8255"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-1108710</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-1091565</wp:posOffset>
            </wp:positionV>
            <wp:extent cx="8255" cy="8255"/>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-1074420</wp:posOffset>
            </wp:positionV>
            <wp:extent cx="8255"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-1057275</wp:posOffset>
            </wp:positionV>
            <wp:extent cx="8255"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-1040130</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-1022985</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-1005840</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-988695</wp:posOffset>
            </wp:positionV>
            <wp:extent cx="8255"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-971550</wp:posOffset>
            </wp:positionV>
            <wp:extent cx="8255"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-954405</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-937260</wp:posOffset>
            </wp:positionV>
            <wp:extent cx="825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-920115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-902970</wp:posOffset>
            </wp:positionV>
            <wp:extent cx="8255"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-885825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-868680</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-851535</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-834390</wp:posOffset>
            </wp:positionV>
            <wp:extent cx="825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-817245</wp:posOffset>
            </wp:positionV>
            <wp:extent cx="8255"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-800100</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-782955</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-765810</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-748665</wp:posOffset>
            </wp:positionV>
            <wp:extent cx="8255"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-731520</wp:posOffset>
            </wp:positionV>
            <wp:extent cx="8255"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-714375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-697230</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-680085</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-662940</wp:posOffset>
            </wp:positionV>
            <wp:extent cx="8255"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-645795</wp:posOffset>
            </wp:positionV>
            <wp:extent cx="8255"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-628650</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-611505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-594360</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-577215</wp:posOffset>
            </wp:positionV>
            <wp:extent cx="825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-560070</wp:posOffset>
            </wp:positionV>
            <wp:extent cx="8255"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-542925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-525780</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-508635</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-491490</wp:posOffset>
            </wp:positionV>
            <wp:extent cx="8255"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-474345</wp:posOffset>
            </wp:positionV>
            <wp:extent cx="8255"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-457200</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-440055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-422910</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-405765</wp:posOffset>
            </wp:positionV>
            <wp:extent cx="8255"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-388620</wp:posOffset>
            </wp:positionV>
            <wp:extent cx="8255"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-371475</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-354330</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-337185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-320040</wp:posOffset>
            </wp:positionV>
            <wp:extent cx="8255"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-302895</wp:posOffset>
            </wp:positionV>
            <wp:extent cx="8255"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-285750</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-268605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-251460</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-234315</wp:posOffset>
            </wp:positionV>
            <wp:extent cx="8255"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-217170</wp:posOffset>
            </wp:positionV>
            <wp:extent cx="8255"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-200025</wp:posOffset>
            </wp:positionV>
            <wp:extent cx="8255" cy="8255"/>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-182880</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-165735</wp:posOffset>
            </wp:positionV>
            <wp:extent cx="8255"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-148590</wp:posOffset>
            </wp:positionV>
            <wp:extent cx="8255"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-131445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-114300</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-97155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-80010</wp:posOffset>
            </wp:positionV>
            <wp:extent cx="8255"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-62865</wp:posOffset>
            </wp:positionV>
            <wp:extent cx="8255"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-45720</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-28575</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-11430</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5080</wp:posOffset>
            </wp:positionV>
            <wp:extent cx="8255"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22225</wp:posOffset>
            </wp:positionV>
            <wp:extent cx="8255"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39370</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56515</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73660</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90805</wp:posOffset>
            </wp:positionV>
            <wp:extent cx="8255"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-2428875</wp:posOffset>
            </wp:positionV>
            <wp:extent cx="8890"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-2411730</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-2394585</wp:posOffset>
            </wp:positionV>
            <wp:extent cx="8890"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-2377440</wp:posOffset>
            </wp:positionV>
            <wp:extent cx="8890" cy="825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-2360295</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-2343150</wp:posOffset>
            </wp:positionV>
            <wp:extent cx="8890"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-2326005</wp:posOffset>
            </wp:positionV>
            <wp:extent cx="8890"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-2308860</wp:posOffset>
            </wp:positionV>
            <wp:extent cx="889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-2291715</wp:posOffset>
            </wp:positionV>
            <wp:extent cx="8890" cy="825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-2274570</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-2257425</wp:posOffset>
            </wp:positionV>
            <wp:extent cx="889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-2240280</wp:posOffset>
            </wp:positionV>
            <wp:extent cx="8890"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-2223135</wp:posOffset>
            </wp:positionV>
            <wp:extent cx="8890"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-2205990</wp:posOffset>
            </wp:positionV>
            <wp:extent cx="8890" cy="825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-2188845</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-2171700</wp:posOffset>
            </wp:positionV>
            <wp:extent cx="8890"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-2154555</wp:posOffset>
            </wp:positionV>
            <wp:extent cx="8890"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-2137410</wp:posOffset>
            </wp:positionV>
            <wp:extent cx="8890"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-2120265</wp:posOffset>
            </wp:positionV>
            <wp:extent cx="8890" cy="825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-2103120</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-2085975</wp:posOffset>
            </wp:positionV>
            <wp:extent cx="8890"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-2068830</wp:posOffset>
            </wp:positionV>
            <wp:extent cx="8890"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-2051685</wp:posOffset>
            </wp:positionV>
            <wp:extent cx="8890"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-2034540</wp:posOffset>
            </wp:positionV>
            <wp:extent cx="8890" cy="825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-2017395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-2000250</wp:posOffset>
            </wp:positionV>
            <wp:extent cx="8890"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-1983105</wp:posOffset>
            </wp:positionV>
            <wp:extent cx="8890"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-1965960</wp:posOffset>
            </wp:positionV>
            <wp:extent cx="8890"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-1948815</wp:posOffset>
            </wp:positionV>
            <wp:extent cx="8890"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-1931670</wp:posOffset>
            </wp:positionV>
            <wp:extent cx="889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-1914525</wp:posOffset>
            </wp:positionV>
            <wp:extent cx="8890"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-1897380</wp:posOffset>
            </wp:positionV>
            <wp:extent cx="8890"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-1880235</wp:posOffset>
            </wp:positionV>
            <wp:extent cx="889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-1863090</wp:posOffset>
            </wp:positionV>
            <wp:extent cx="8890" cy="8255"/>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-1845945</wp:posOffset>
            </wp:positionV>
            <wp:extent cx="8890"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-1828800</wp:posOffset>
            </wp:positionV>
            <wp:extent cx="8890"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-1811655</wp:posOffset>
            </wp:positionV>
            <wp:extent cx="8890"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-1794510</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-1777365</wp:posOffset>
            </wp:positionV>
            <wp:extent cx="8890"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-1760220</wp:posOffset>
            </wp:positionV>
            <wp:extent cx="8890"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-1743075</wp:posOffset>
            </wp:positionV>
            <wp:extent cx="8890"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-1725930</wp:posOffset>
            </wp:positionV>
            <wp:extent cx="8890"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-1708785</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-1691640</wp:posOffset>
            </wp:positionV>
            <wp:extent cx="8890" cy="8255"/>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-1674495</wp:posOffset>
            </wp:positionV>
            <wp:extent cx="8890"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-1657350</wp:posOffset>
            </wp:positionV>
            <wp:extent cx="8890"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-1640205</wp:posOffset>
            </wp:positionV>
            <wp:extent cx="8890"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-1623060</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-1605915</wp:posOffset>
            </wp:positionV>
            <wp:extent cx="8890"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-1588770</wp:posOffset>
            </wp:positionV>
            <wp:extent cx="8890"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-1571625</wp:posOffset>
            </wp:positionV>
            <wp:extent cx="8890"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-1554480</wp:posOffset>
            </wp:positionV>
            <wp:extent cx="8890"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-1537335</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-1520190</wp:posOffset>
            </wp:positionV>
            <wp:extent cx="8890" cy="8255"/>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-1503045</wp:posOffset>
            </wp:positionV>
            <wp:extent cx="8890"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-1485900</wp:posOffset>
            </wp:positionV>
            <wp:extent cx="8890"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-1468755</wp:posOffset>
            </wp:positionV>
            <wp:extent cx="8890"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-1451610</wp:posOffset>
            </wp:positionV>
            <wp:extent cx="889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-1434465</wp:posOffset>
            </wp:positionV>
            <wp:extent cx="889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-1417320</wp:posOffset>
            </wp:positionV>
            <wp:extent cx="8890"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-1400175</wp:posOffset>
            </wp:positionV>
            <wp:extent cx="8890"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-1383030</wp:posOffset>
            </wp:positionV>
            <wp:extent cx="8890"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-1365885</wp:posOffset>
            </wp:positionV>
            <wp:extent cx="889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-1348740</wp:posOffset>
            </wp:positionV>
            <wp:extent cx="8890" cy="825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-1331595</wp:posOffset>
            </wp:positionV>
            <wp:extent cx="8890"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-1314450</wp:posOffset>
            </wp:positionV>
            <wp:extent cx="8890"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-1297305</wp:posOffset>
            </wp:positionV>
            <wp:extent cx="8890"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-1280160</wp:posOffset>
            </wp:positionV>
            <wp:extent cx="889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-1263015</wp:posOffset>
            </wp:positionV>
            <wp:extent cx="8890" cy="825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-1245870</wp:posOffset>
            </wp:positionV>
            <wp:extent cx="8890"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-1228725</wp:posOffset>
            </wp:positionV>
            <wp:extent cx="8890"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-1211580</wp:posOffset>
            </wp:positionV>
            <wp:extent cx="8890" cy="825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-1194435</wp:posOffset>
            </wp:positionV>
            <wp:extent cx="889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-1177290</wp:posOffset>
            </wp:positionV>
            <wp:extent cx="8890"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-1160145</wp:posOffset>
            </wp:positionV>
            <wp:extent cx="8890"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-1143000</wp:posOffset>
            </wp:positionV>
            <wp:extent cx="889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-1125855</wp:posOffset>
            </wp:positionV>
            <wp:extent cx="8890"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-1108710</wp:posOffset>
            </wp:positionV>
            <wp:extent cx="8890"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-1091565</wp:posOffset>
            </wp:positionV>
            <wp:extent cx="8890"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-1074420</wp:posOffset>
            </wp:positionV>
            <wp:extent cx="889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-1057275</wp:posOffset>
            </wp:positionV>
            <wp:extent cx="889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-1040130</wp:posOffset>
            </wp:positionV>
            <wp:extent cx="8890"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-1022985</wp:posOffset>
            </wp:positionV>
            <wp:extent cx="8890"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-1005840</wp:posOffset>
            </wp:positionV>
            <wp:extent cx="8890"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-988695</wp:posOffset>
            </wp:positionV>
            <wp:extent cx="889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-971550</wp:posOffset>
            </wp:positionV>
            <wp:extent cx="889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-954405</wp:posOffset>
            </wp:positionV>
            <wp:extent cx="8890"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-937260</wp:posOffset>
            </wp:positionV>
            <wp:extent cx="8890"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-920115</wp:posOffset>
            </wp:positionV>
            <wp:extent cx="8890"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-902970</wp:posOffset>
            </wp:positionV>
            <wp:extent cx="889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-885825</wp:posOffset>
            </wp:positionV>
            <wp:extent cx="8890"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-868680</wp:posOffset>
            </wp:positionV>
            <wp:extent cx="8890" cy="825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-851535</wp:posOffset>
            </wp:positionV>
            <wp:extent cx="8890"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-834390</wp:posOffset>
            </wp:positionV>
            <wp:extent cx="889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-817245</wp:posOffset>
            </wp:positionV>
            <wp:extent cx="889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-800100</wp:posOffset>
            </wp:positionV>
            <wp:extent cx="8890"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-782955</wp:posOffset>
            </wp:positionV>
            <wp:extent cx="8890" cy="8255"/>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-765810</wp:posOffset>
            </wp:positionV>
            <wp:extent cx="8890"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-748665</wp:posOffset>
            </wp:positionV>
            <wp:extent cx="889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-731520</wp:posOffset>
            </wp:positionV>
            <wp:extent cx="889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-714375</wp:posOffset>
            </wp:positionV>
            <wp:extent cx="8890"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-697230</wp:posOffset>
            </wp:positionV>
            <wp:extent cx="8890" cy="825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-680085</wp:posOffset>
            </wp:positionV>
            <wp:extent cx="8890"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-662940</wp:posOffset>
            </wp:positionV>
            <wp:extent cx="889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-645795</wp:posOffset>
            </wp:positionV>
            <wp:extent cx="889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-628650</wp:posOffset>
            </wp:positionV>
            <wp:extent cx="8890"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-611505</wp:posOffset>
            </wp:positionV>
            <wp:extent cx="8890"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-594360</wp:posOffset>
            </wp:positionV>
            <wp:extent cx="8890"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-577215</wp:posOffset>
            </wp:positionV>
            <wp:extent cx="889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-560070</wp:posOffset>
            </wp:positionV>
            <wp:extent cx="889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-542925</wp:posOffset>
            </wp:positionV>
            <wp:extent cx="8890"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-525780</wp:posOffset>
            </wp:positionV>
            <wp:extent cx="8890" cy="8255"/>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-508635</wp:posOffset>
            </wp:positionV>
            <wp:extent cx="889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-491490</wp:posOffset>
            </wp:positionV>
            <wp:extent cx="889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-474345</wp:posOffset>
            </wp:positionV>
            <wp:extent cx="889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-457200</wp:posOffset>
            </wp:positionV>
            <wp:extent cx="8890"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-440055</wp:posOffset>
            </wp:positionV>
            <wp:extent cx="8890" cy="825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-422910</wp:posOffset>
            </wp:positionV>
            <wp:extent cx="8890"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-405765</wp:posOffset>
            </wp:positionV>
            <wp:extent cx="889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-388620</wp:posOffset>
            </wp:positionV>
            <wp:extent cx="889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-371475</wp:posOffset>
            </wp:positionV>
            <wp:extent cx="8890"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-354330</wp:posOffset>
            </wp:positionV>
            <wp:extent cx="8890" cy="8255"/>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-337185</wp:posOffset>
            </wp:positionV>
            <wp:extent cx="8890"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-320040</wp:posOffset>
            </wp:positionV>
            <wp:extent cx="889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-302895</wp:posOffset>
            </wp:positionV>
            <wp:extent cx="889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-285750</wp:posOffset>
            </wp:positionV>
            <wp:extent cx="8890"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-268605</wp:posOffset>
            </wp:positionV>
            <wp:extent cx="8890" cy="825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-251460</wp:posOffset>
            </wp:positionV>
            <wp:extent cx="889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-234315</wp:posOffset>
            </wp:positionV>
            <wp:extent cx="889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-217170</wp:posOffset>
            </wp:positionV>
            <wp:extent cx="889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-200025</wp:posOffset>
            </wp:positionV>
            <wp:extent cx="8890"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-182880</wp:posOffset>
            </wp:positionV>
            <wp:extent cx="8890" cy="825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-165735</wp:posOffset>
            </wp:positionV>
            <wp:extent cx="889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-148590</wp:posOffset>
            </wp:positionV>
            <wp:extent cx="889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-131445</wp:posOffset>
            </wp:positionV>
            <wp:extent cx="8890"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-114300</wp:posOffset>
            </wp:positionV>
            <wp:extent cx="8890"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-97155</wp:posOffset>
            </wp:positionV>
            <wp:extent cx="8890" cy="825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-80010</wp:posOffset>
            </wp:positionV>
            <wp:extent cx="889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-62865</wp:posOffset>
            </wp:positionV>
            <wp:extent cx="889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-45720</wp:posOffset>
            </wp:positionV>
            <wp:extent cx="8890"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-28575</wp:posOffset>
            </wp:positionV>
            <wp:extent cx="8890"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-11430</wp:posOffset>
            </wp:positionV>
            <wp:extent cx="8890"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5080</wp:posOffset>
            </wp:positionV>
            <wp:extent cx="88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22225</wp:posOffset>
            </wp:positionV>
            <wp:extent cx="889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39370</wp:posOffset>
            </wp:positionV>
            <wp:extent cx="8890"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56515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73660</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90805</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7" w:lineRule="exact"/>
        <w:rPr>
          <w:sz w:val="20"/>
          <w:szCs w:val="20"/>
          <w:color w:val="auto"/>
        </w:rPr>
      </w:pPr>
    </w:p>
    <w:p>
      <w:pPr>
        <w:jc w:val="both"/>
        <w:ind w:right="40"/>
        <w:spacing w:after="0" w:line="249" w:lineRule="auto"/>
        <w:rPr>
          <w:sz w:val="20"/>
          <w:szCs w:val="20"/>
          <w:color w:val="auto"/>
        </w:rPr>
      </w:pPr>
      <w:r>
        <w:rPr>
          <w:rFonts w:ascii="Arial" w:cs="Arial" w:eastAsia="Arial" w:hAnsi="Arial"/>
          <w:sz w:val="16"/>
          <w:szCs w:val="16"/>
          <w:b w:val="1"/>
          <w:bCs w:val="1"/>
          <w:i w:val="1"/>
          <w:iCs w:val="1"/>
          <w:color w:val="auto"/>
        </w:rPr>
        <w:t>Pesertadengan ini membenarkan Syarikat, UBS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 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-3997325</wp:posOffset>
            </wp:positionV>
            <wp:extent cx="3600450" cy="450024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0">
                      <a:extLst>
                        <a:ext uri="{28A0092B-C50C-407E-A947-70E740481C1C}"/>
                      </a:extLst>
                    </a:blip>
                    <a:srcRect/>
                    <a:stretch>
                      <a:fillRect/>
                    </a:stretch>
                  </pic:blipFill>
                  <pic:spPr bwMode="auto">
                    <a:xfrm>
                      <a:off x="0" y="0"/>
                      <a:ext cx="3600450" cy="4500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140"/>
            <w:col w:w="5560"/>
          </w:cols>
          <w:pgMar w:left="320" w:top="166"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ectPr>
          <w:pgSz w:w="11900" w:h="16838" w:orient="portrait"/>
          <w:cols w:equalWidth="0" w:num="1">
            <w:col w:w="11220"/>
          </w:cols>
          <w:pgMar w:left="320" w:top="166" w:right="359" w:bottom="0" w:gutter="0" w:footer="0" w:header="0"/>
          <w:type w:val="continuous"/>
        </w:sectPr>
      </w:pPr>
    </w:p>
    <w:bookmarkStart w:id="135" w:name="page136"/>
    <w:bookmarkEnd w:id="135"/>
    <w:p>
      <w:pPr>
        <w:spacing w:after="0" w:line="211"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Participant is a director of the Company’s Malaysian subsidiary or affiliate, the Participant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Malaysian Companies Act. Among these requirements is an obligation to notify the Malaysian subsidiary or affiliate in writing when the Participant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LTI Grants or shares of Common Stock) in the Company or any related company. Such notifications must be made within 14 days of receiving or disposing of any interest in the Company or any related company.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04" w:right="339" w:bottom="1440" w:gutter="0" w:footer="0" w:header="0"/>
        </w:sectPr>
      </w:pPr>
    </w:p>
    <w:bookmarkStart w:id="136" w:name="page137"/>
    <w:bookmarkEnd w:id="136"/>
    <w:p>
      <w:pPr>
        <w:spacing w:after="0" w:line="215"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participating in the Plan and receiving this LTI Grant, the Participant expressly recognizes that Mondelēz</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Mondelēz México, S. de R.L. de C.V., located at Avenida Santa Fe 485, Piso 7, Colonia Cruz Manca, Mexico City, C.P. 05349 Mexico. Based on the foregoing, the Participant expressly recognizes that the Plan and the benefits that he or she may derive from participating in the Plan do not establish any rights between the Participant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Participant’s employment.</w:t>
      </w:r>
    </w:p>
    <w:p>
      <w:pPr>
        <w:spacing w:after="0" w:line="155" w:lineRule="exact"/>
        <w:rPr>
          <w:sz w:val="20"/>
          <w:szCs w:val="20"/>
          <w:color w:val="auto"/>
        </w:rPr>
      </w:pPr>
    </w:p>
    <w:p>
      <w:pPr>
        <w:ind w:right="40"/>
        <w:spacing w:after="0" w:line="218" w:lineRule="auto"/>
        <w:rPr>
          <w:sz w:val="20"/>
          <w:szCs w:val="20"/>
          <w:color w:val="auto"/>
        </w:rPr>
      </w:pPr>
      <w:r>
        <w:rPr>
          <w:rFonts w:ascii="Arial" w:cs="Arial" w:eastAsia="Arial" w:hAnsi="Arial"/>
          <w:sz w:val="20"/>
          <w:szCs w:val="20"/>
          <w:color w:val="auto"/>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50" w:lineRule="exact"/>
        <w:rPr>
          <w:sz w:val="20"/>
          <w:szCs w:val="20"/>
          <w:color w:val="auto"/>
        </w:rPr>
      </w:pPr>
    </w:p>
    <w:p>
      <w:pPr>
        <w:ind w:right="500"/>
        <w:spacing w:after="0" w:line="220"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LTI Grant, the Participant acknowledges that he or she has received copies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has reviewed the Plan and the Agreement in their entirety and fully understands and accepts all provisions of the Plan and the Agreement.</w:t>
      </w:r>
    </w:p>
    <w:p>
      <w:pPr>
        <w:spacing w:after="0" w:line="157" w:lineRule="exact"/>
        <w:rPr>
          <w:sz w:val="20"/>
          <w:szCs w:val="20"/>
          <w:color w:val="auto"/>
        </w:rPr>
      </w:pPr>
    </w:p>
    <w:p>
      <w:pPr>
        <w:ind w:right="480"/>
        <w:spacing w:after="0" w:line="207" w:lineRule="auto"/>
        <w:rPr>
          <w:sz w:val="20"/>
          <w:szCs w:val="20"/>
          <w:color w:val="auto"/>
        </w:rPr>
      </w:pPr>
      <w:r>
        <w:rPr>
          <w:rFonts w:ascii="Arial" w:cs="Arial" w:eastAsia="Arial" w:hAnsi="Arial"/>
          <w:sz w:val="20"/>
          <w:szCs w:val="20"/>
          <w:color w:val="auto"/>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spacing w:after="0" w:line="160"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169"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b w:val="1"/>
          <w:bCs w:val="1"/>
          <w:color w:val="auto"/>
        </w:rPr>
        <w:t xml:space="preserve">Política Laboral y Reconocimiento/Aceptación. </w:t>
      </w:r>
      <w:r>
        <w:rPr>
          <w:rFonts w:ascii="Arial" w:cs="Arial" w:eastAsia="Arial" w:hAnsi="Arial"/>
          <w:sz w:val="18"/>
          <w:szCs w:val="18"/>
          <w:color w:val="auto"/>
        </w:rPr>
        <w:t>Al participar en el Plan LTI y recibir el Premio LTIP, el Participante expresamente</w:t>
      </w:r>
      <w:r>
        <w:rPr>
          <w:rFonts w:ascii="Arial" w:cs="Arial" w:eastAsia="Arial" w:hAnsi="Arial"/>
          <w:sz w:val="18"/>
          <w:szCs w:val="18"/>
          <w:b w:val="1"/>
          <w:bCs w:val="1"/>
          <w:color w:val="auto"/>
        </w:rPr>
        <w:t xml:space="preserve"> </w:t>
      </w:r>
      <w:r>
        <w:rPr>
          <w:rFonts w:ascii="Arial" w:cs="Arial" w:eastAsia="Arial" w:hAnsi="Arial"/>
          <w:sz w:val="18"/>
          <w:szCs w:val="18"/>
          <w:color w:val="auto"/>
        </w:rPr>
        <w:t>reconoce que Mondelēz International, Inc., con domicilio registrado ubicado en 905 West Fulton Market, Suite 200, Chicago, Illinois 60607,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Mondelēz México,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Participante y el Patrón, Mondelēz México, S. de R.L. de C.V., y no forma parte de las condiciones de trabajo y/o las prestaciones otorgadas por Mondelēz México, S. de R.L. de C.V., y que cualquier modificación al Plan LTI o su terminación no constituye un cambio o impedimento de los términos y condiciones de la relación de trabajo del Participante.</w:t>
      </w:r>
    </w:p>
    <w:p>
      <w:pPr>
        <w:spacing w:after="0" w:line="163" w:lineRule="exact"/>
        <w:rPr>
          <w:sz w:val="20"/>
          <w:szCs w:val="20"/>
          <w:color w:val="auto"/>
        </w:rPr>
      </w:pPr>
    </w:p>
    <w:p>
      <w:pPr>
        <w:ind w:right="680"/>
        <w:spacing w:after="0" w:line="229" w:lineRule="auto"/>
        <w:rPr>
          <w:sz w:val="20"/>
          <w:szCs w:val="20"/>
          <w:color w:val="auto"/>
        </w:rPr>
      </w:pPr>
      <w:r>
        <w:rPr>
          <w:rFonts w:ascii="Arial" w:cs="Arial" w:eastAsia="Arial" w:hAnsi="Arial"/>
          <w:sz w:val="20"/>
          <w:szCs w:val="20"/>
          <w:color w:val="auto"/>
        </w:rPr>
        <w:t>De igual manera, el Participante entiende que su participación en el Plan LTI es resultado de una decisión unilateral y discrecional de Mondelēz International, Inc.; por lo tanto, Mondelēz International, Inc. se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1399" w:right="359" w:bottom="1440" w:gutter="0" w:footer="0" w:header="0"/>
        </w:sectPr>
      </w:pPr>
    </w:p>
    <w:bookmarkStart w:id="137" w:name="page138"/>
    <w:bookmarkEnd w:id="137"/>
    <w:p>
      <w:pPr>
        <w:ind w:right="420"/>
        <w:spacing w:after="0" w:line="229" w:lineRule="auto"/>
        <w:rPr>
          <w:sz w:val="20"/>
          <w:szCs w:val="20"/>
          <w:color w:val="auto"/>
        </w:rPr>
      </w:pPr>
      <w:r>
        <w:rPr>
          <w:rFonts w:ascii="Arial" w:cs="Arial" w:eastAsia="Arial" w:hAnsi="Arial"/>
          <w:sz w:val="20"/>
          <w:szCs w:val="20"/>
          <w:color w:val="auto"/>
        </w:rPr>
        <w:t>reserva el absoluto derecho de modificar y/o terminar la participación del Participante en cualquier momento, sin responsabilidad alguna frente el Participante.</w:t>
      </w:r>
    </w:p>
    <w:p>
      <w:pPr>
        <w:spacing w:after="0" w:line="149" w:lineRule="exact"/>
        <w:rPr>
          <w:sz w:val="20"/>
          <w:szCs w:val="20"/>
          <w:color w:val="auto"/>
        </w:rPr>
      </w:pPr>
    </w:p>
    <w:p>
      <w:pPr>
        <w:jc w:val="both"/>
        <w:ind w:right="120"/>
        <w:spacing w:after="0" w:line="220"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Premio LTIP, el Participante reconoce que ha recibido copias del Plan LTI,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revisado el Plan LTI y el Acuerdo en su totalidad y que entiende y acepta completamente todas las disposiciones contenidas en el Plan LTI y en el Acuerdo.</w:t>
      </w:r>
    </w:p>
    <w:p>
      <w:pPr>
        <w:spacing w:after="0" w:line="157" w:lineRule="exact"/>
        <w:rPr>
          <w:sz w:val="20"/>
          <w:szCs w:val="20"/>
          <w:color w:val="auto"/>
        </w:rPr>
      </w:pPr>
    </w:p>
    <w:p>
      <w:pPr>
        <w:ind w:right="80"/>
        <w:spacing w:after="0" w:line="207" w:lineRule="auto"/>
        <w:rPr>
          <w:sz w:val="20"/>
          <w:szCs w:val="20"/>
          <w:color w:val="auto"/>
        </w:rPr>
      </w:pPr>
      <w:r>
        <w:rPr>
          <w:rFonts w:ascii="Arial" w:cs="Arial" w:eastAsia="Arial" w:hAnsi="Arial"/>
          <w:sz w:val="20"/>
          <w:szCs w:val="20"/>
          <w:color w:val="auto"/>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spacing w:after="0" w:line="160" w:lineRule="exact"/>
        <w:rPr>
          <w:sz w:val="20"/>
          <w:szCs w:val="20"/>
          <w:color w:val="auto"/>
        </w:rPr>
      </w:pPr>
    </w:p>
    <w:p>
      <w:pPr>
        <w:ind w:right="20"/>
        <w:spacing w:after="0" w:line="210" w:lineRule="auto"/>
        <w:rPr>
          <w:sz w:val="20"/>
          <w:szCs w:val="20"/>
          <w:color w:val="auto"/>
        </w:rPr>
      </w:pPr>
      <w:r>
        <w:rPr>
          <w:rFonts w:ascii="Arial" w:cs="Arial" w:eastAsia="Arial" w:hAnsi="Arial"/>
          <w:sz w:val="20"/>
          <w:szCs w:val="20"/>
          <w:color w:val="auto"/>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6"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LTI Grants and the shares of Common Stock offered under the Plan have not been registered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National Register of Securities maintained by the Mexican National Banking and Securities Commission and cannot be offered or sold publicly in Mexico. In addition, the Plan, the Agreement and any other document relating to the LTI Grants may not be publicly distributed in Mexico. These materials are addressed to the Participant only because of the Participant’s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181" w:lineRule="exact"/>
        <w:rPr>
          <w:sz w:val="20"/>
          <w:szCs w:val="20"/>
          <w:color w:val="auto"/>
        </w:rPr>
      </w:pPr>
    </w:p>
    <w:p>
      <w:pPr>
        <w:ind w:right="60"/>
        <w:spacing w:after="0" w:line="210"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05" w:right="33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without reduction for early commencement and without any requirement of a particular period of prior service).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120"/>
        <w:spacing w:after="0" w:line="23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Participant is being offered an LTI Grant which allows the Participant to acquire shares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Common Stock in accordance with the terms of the Plan and the Agreement. The shares of Common Stock, if issued, give the Participant a stake in the ownership of the Company. The Participant may receive a return if dividends are paid.</w:t>
      </w:r>
    </w:p>
    <w:p>
      <w:pPr>
        <w:spacing w:after="0" w:line="155" w:lineRule="exact"/>
        <w:rPr>
          <w:sz w:val="20"/>
          <w:szCs w:val="20"/>
          <w:color w:val="auto"/>
        </w:rPr>
      </w:pPr>
    </w:p>
    <w:p>
      <w:pPr>
        <w:jc w:val="both"/>
        <w:ind w:right="100"/>
        <w:spacing w:after="0" w:line="229" w:lineRule="auto"/>
        <w:rPr>
          <w:sz w:val="20"/>
          <w:szCs w:val="20"/>
          <w:color w:val="auto"/>
        </w:rPr>
      </w:pPr>
      <w:r>
        <w:rPr>
          <w:rFonts w:ascii="Arial" w:cs="Arial" w:eastAsia="Arial" w:hAnsi="Arial"/>
          <w:sz w:val="20"/>
          <w:szCs w:val="20"/>
          <w:i w:val="1"/>
          <w:iCs w:val="1"/>
          <w:color w:val="auto"/>
        </w:rPr>
        <w:t>If the Company runs into financial difficulties and is wound up, the Participant will be paid only after all creditors and holders of preferred shares have been paid. The Participant may lose some or all of his or her investment.</w:t>
      </w:r>
    </w:p>
    <w:p>
      <w:pPr>
        <w:spacing w:after="0" w:line="155"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i w:val="1"/>
          <w:iCs w:val="1"/>
          <w:color w:val="auto"/>
        </w:rPr>
        <w:t>The usual rules do not apply to this offer because it is made under an employee share purchase scheme. As a result, the Participant may not be given all the information usually required. The Participant will also have fewer other legal protections for this investment.</w:t>
      </w:r>
    </w:p>
    <w:p>
      <w:pPr>
        <w:spacing w:after="0" w:line="130"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i w:val="1"/>
          <w:iCs w:val="1"/>
          <w:color w:val="auto"/>
        </w:rPr>
        <w:t>The Participant understands that he or she should ask questions, read all documents carefully, and seek independent financial advice before participating in the Plan.</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Participant acquires shares of Common Stock under the Plan, the Participant may be able to sell his or her investment on the Nasdaq if there are interested buyers. The price will depend on the demand for the shares of Common Stock.</w:t>
      </w:r>
    </w:p>
    <w:p>
      <w:pPr>
        <w:spacing w:after="0" w:line="152" w:lineRule="exact"/>
        <w:rPr>
          <w:sz w:val="20"/>
          <w:szCs w:val="20"/>
          <w:color w:val="auto"/>
        </w:rPr>
      </w:pPr>
    </w:p>
    <w:p>
      <w:pPr>
        <w:ind w:right="120"/>
        <w:spacing w:after="0" w:line="213"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Participant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auto"/>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u w:val="single" w:color="auto"/>
          <w:color w:val="auto"/>
        </w:rPr>
        <w:t>http://ir.mondelezinternational.com/sec.cfm</w:t>
      </w:r>
      <w:r>
        <w:rPr>
          <w:rFonts w:ascii="Arial" w:cs="Arial" w:eastAsia="Arial" w:hAnsi="Arial"/>
          <w:sz w:val="20"/>
          <w:szCs w:val="20"/>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60"/>
        <w:spacing w:after="0" w:line="21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Participant is required immediately to repatriate to Pakistan the proceeds from the sale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Arial" w:cs="Arial" w:eastAsia="Arial" w:hAnsi="Arial"/>
          <w:sz w:val="19"/>
          <w:szCs w:val="19"/>
          <w:u w:val="single" w:color="auto"/>
          <w:color w:val="auto"/>
        </w:rPr>
        <w:t>SBP</w:t>
      </w:r>
      <w:r>
        <w:rPr>
          <w:rFonts w:ascii="Arial" w:cs="Arial" w:eastAsia="Arial" w:hAnsi="Arial"/>
          <w:sz w:val="19"/>
          <w:szCs w:val="19"/>
          <w:color w:val="auto"/>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160"/>
          </w:cols>
          <w:pgMar w:left="320" w:top="1405" w:right="419" w:bottom="1440" w:gutter="0" w:footer="0" w:header="0"/>
        </w:sectPr>
      </w:pPr>
    </w:p>
    <w:bookmarkStart w:id="139" w:name="page140"/>
    <w:bookmarkEnd w:id="139"/>
    <w:p>
      <w:pPr>
        <w:ind w:right="520"/>
        <w:spacing w:after="0" w:line="229" w:lineRule="auto"/>
        <w:rPr>
          <w:sz w:val="20"/>
          <w:szCs w:val="20"/>
          <w:color w:val="auto"/>
        </w:rPr>
      </w:pPr>
      <w:r>
        <w:rPr>
          <w:rFonts w:ascii="Arial" w:cs="Arial" w:eastAsia="Arial" w:hAnsi="Arial"/>
          <w:sz w:val="20"/>
          <w:szCs w:val="20"/>
          <w:color w:val="auto"/>
        </w:rPr>
        <w:t>exchange control regulations in Pakistan, as such regulations are subject to frequent change. The Participant is responsible for ensuring compliance with all exchange control laws in Pakistan.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PANAMA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70"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1"/>
          <w:szCs w:val="21"/>
          <w:color w:val="auto"/>
        </w:rPr>
        <w:t>Neither the LTI Award nor any shares of Common Stock that the Participant may acquire at upon the</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LTI Award Payout constitute a public offering of securities, as they are available only to eligible employees of the </w:t>
      </w:r>
      <w:r>
        <w:rPr>
          <w:rFonts w:ascii="Arial" w:cs="Arial" w:eastAsia="Arial" w:hAnsi="Arial"/>
          <w:sz w:val="19"/>
          <w:szCs w:val="19"/>
          <w:color w:val="auto"/>
        </w:rPr>
        <w:t>Mondelēz</w:t>
      </w:r>
      <w:r>
        <w:rPr>
          <w:rFonts w:ascii="Arial" w:cs="Arial" w:eastAsia="Arial" w:hAnsi="Arial"/>
          <w:sz w:val="21"/>
          <w:szCs w:val="21"/>
          <w:color w:val="auto"/>
        </w:rPr>
        <w:t xml:space="preserve"> </w:t>
      </w:r>
      <w:r>
        <w:rPr>
          <w:rFonts w:ascii="Arial" w:cs="Arial" w:eastAsia="Arial" w:hAnsi="Arial"/>
          <w:sz w:val="19"/>
          <w:szCs w:val="19"/>
          <w:color w:val="auto"/>
        </w:rPr>
        <w:t>Group</w:t>
      </w:r>
      <w:r>
        <w:rPr>
          <w:rFonts w:ascii="Arial" w:cs="Arial" w:eastAsia="Arial" w:hAnsi="Arial"/>
          <w:sz w:val="21"/>
          <w:szCs w:val="21"/>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80"/>
        <w:spacing w:after="0" w:line="422" w:lineRule="auto"/>
        <w:rPr>
          <w:sz w:val="20"/>
          <w:szCs w:val="20"/>
          <w:color w:val="auto"/>
        </w:rPr>
      </w:pPr>
      <w:r>
        <w:rPr>
          <w:rFonts w:ascii="Arial" w:cs="Arial" w:eastAsia="Arial" w:hAnsi="Arial"/>
          <w:sz w:val="20"/>
          <w:szCs w:val="20"/>
          <w:b w:val="1"/>
          <w:bCs w:val="1"/>
          <w:color w:val="auto"/>
        </w:rPr>
        <w:t xml:space="preserve">Labor Law Acknowledgement. </w:t>
      </w:r>
      <w:r>
        <w:rPr>
          <w:rFonts w:ascii="Arial" w:cs="Arial" w:eastAsia="Arial" w:hAnsi="Arial"/>
          <w:sz w:val="20"/>
          <w:szCs w:val="20"/>
          <w:color w:val="auto"/>
        </w:rPr>
        <w:t>The following provision supplements the acknowledgment contained in paragraph 9 of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accepting the LTI Grant, the Participant acknowledges, understands and agrees that the LTI Grant is granted </w:t>
      </w:r>
      <w:r>
        <w:rPr>
          <w:rFonts w:ascii="Arial" w:cs="Arial" w:eastAsia="Arial" w:hAnsi="Arial"/>
          <w:sz w:val="20"/>
          <w:szCs w:val="20"/>
          <w:i w:val="1"/>
          <w:iCs w:val="1"/>
          <w:color w:val="auto"/>
        </w:rPr>
        <w:t>ex gratia</w:t>
      </w:r>
      <w:r>
        <w:rPr>
          <w:rFonts w:ascii="Arial" w:cs="Arial" w:eastAsia="Arial" w:hAnsi="Arial"/>
          <w:sz w:val="20"/>
          <w:szCs w:val="20"/>
          <w:color w:val="auto"/>
        </w:rPr>
        <w:t xml:space="preserve"> to the Participant. </w:t>
      </w:r>
      <w:r>
        <w:rPr>
          <w:rFonts w:ascii="Arial" w:cs="Arial" w:eastAsia="Arial" w:hAnsi="Arial"/>
          <w:sz w:val="20"/>
          <w:szCs w:val="20"/>
          <w:b w:val="1"/>
          <w:bCs w:val="1"/>
          <w:i w:val="1"/>
          <w:iCs w:val="1"/>
          <w:color w:val="auto"/>
        </w:rPr>
        <w:t>NOTIFICATIONS</w:t>
      </w:r>
    </w:p>
    <w:p>
      <w:pPr>
        <w:spacing w:after="0" w:line="2" w:lineRule="exact"/>
        <w:rPr>
          <w:sz w:val="20"/>
          <w:szCs w:val="20"/>
          <w:color w:val="auto"/>
        </w:rPr>
      </w:pPr>
    </w:p>
    <w:p>
      <w:pPr>
        <w:ind w:right="140"/>
        <w:spacing w:after="0" w:line="214"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is considered a private offering in Peru; therefore, it is not subject to registration. For more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Arial" w:cs="Arial" w:eastAsia="Arial" w:hAnsi="Arial"/>
          <w:sz w:val="20"/>
          <w:szCs w:val="20"/>
          <w:u w:val="single" w:color="auto"/>
          <w:color w:val="auto"/>
        </w:rPr>
        <w:t>www.sec.gov</w:t>
      </w:r>
      <w:r>
        <w:rPr>
          <w:rFonts w:ascii="Arial" w:cs="Arial" w:eastAsia="Arial" w:hAnsi="Arial"/>
          <w:sz w:val="20"/>
          <w:szCs w:val="20"/>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380"/>
        <w:spacing w:after="0" w:line="214" w:lineRule="auto"/>
        <w:rPr>
          <w:sz w:val="20"/>
          <w:szCs w:val="20"/>
          <w:color w:val="auto"/>
        </w:rPr>
      </w:pPr>
      <w:r>
        <w:rPr>
          <w:rFonts w:ascii="Arial" w:cs="Arial" w:eastAsia="Arial" w:hAnsi="Arial"/>
          <w:sz w:val="20"/>
          <w:szCs w:val="20"/>
          <w:b w:val="1"/>
          <w:bCs w:val="1"/>
          <w:color w:val="auto"/>
        </w:rPr>
        <w:t xml:space="preserve">LTI Grant Payable Only in Cash. </w:t>
      </w:r>
      <w:r>
        <w:rPr>
          <w:rFonts w:ascii="Arial" w:cs="Arial" w:eastAsia="Arial" w:hAnsi="Arial"/>
          <w:sz w:val="20"/>
          <w:szCs w:val="20"/>
          <w:color w:val="auto"/>
        </w:rPr>
        <w:t>Notwithstanding any discretion in the Plan or anything to the contrary in the Agreement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20" w:top="1405" w:right="35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560"/>
        <w:spacing w:after="0" w:line="249"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Participant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7" w:lineRule="exact"/>
        <w:rPr>
          <w:sz w:val="20"/>
          <w:szCs w:val="20"/>
          <w:color w:val="auto"/>
        </w:rPr>
      </w:pPr>
    </w:p>
    <w:p>
      <w:pPr>
        <w:spacing w:after="0" w:line="218"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40"/>
        <w:spacing w:after="0" w:line="23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Participant acquires shares of Common Stock under the Plan and does not hold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with a Portuguese financial intermediary, he or she may need to file a report with the Portuguese Central Bank. If the shares of Common Stock are held by a Portuguese financial intermediary, it will file the report for the Participant.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8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Agreement, the Plan and all other materials that the Participant may receive concerning the LTI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participation in the Plan do not constitute advertising or an offering of securities in Russia. The Common Stock to be issued upon the LTI Award Payout has not and will not be registered in Russia and, therefore, the Common Stock described in any Plan documents may not be offered or placed in public circulation in Russia. In no event will Common Stock to be issued upon the LTI Award Payout be delivered to the Participant in Russia. All Common Stock acquired under the Plan will be maintained on the Participant’s behalf outside of Russia. The Participant will not be permitted to sell Common Stock directly to a Russian legal entity or resident.</w:t>
      </w:r>
    </w:p>
    <w:p>
      <w:pPr>
        <w:spacing w:after="0" w:line="149" w:lineRule="exact"/>
        <w:rPr>
          <w:sz w:val="20"/>
          <w:szCs w:val="20"/>
          <w:color w:val="auto"/>
        </w:rPr>
      </w:pPr>
    </w:p>
    <w:p>
      <w:pPr>
        <w:ind w:right="20"/>
        <w:spacing w:after="0" w:line="216" w:lineRule="auto"/>
        <w:rPr>
          <w:sz w:val="20"/>
          <w:szCs w:val="20"/>
          <w:color w:val="auto"/>
        </w:rPr>
      </w:pPr>
      <w:r>
        <w:rPr>
          <w:rFonts w:ascii="Arial" w:cs="Arial" w:eastAsia="Arial" w:hAnsi="Arial"/>
          <w:sz w:val="19"/>
          <w:szCs w:val="19"/>
          <w:b w:val="1"/>
          <w:bCs w:val="1"/>
          <w:color w:val="auto"/>
        </w:rPr>
        <w:t xml:space="preserve">Settlement of LTI Grant and Sale of Shares. </w:t>
      </w:r>
      <w:r>
        <w:rPr>
          <w:rFonts w:ascii="Arial" w:cs="Arial" w:eastAsia="Arial" w:hAnsi="Arial"/>
          <w:sz w:val="19"/>
          <w:szCs w:val="19"/>
          <w:color w:val="auto"/>
        </w:rPr>
        <w:t>Notwithstanding anything to the contrary in the Agreement, depending on the development of</w:t>
      </w:r>
      <w:r>
        <w:rPr>
          <w:rFonts w:ascii="Arial" w:cs="Arial" w:eastAsia="Arial" w:hAnsi="Arial"/>
          <w:sz w:val="19"/>
          <w:szCs w:val="19"/>
          <w:b w:val="1"/>
          <w:bCs w:val="1"/>
          <w:color w:val="auto"/>
        </w:rPr>
        <w:t xml:space="preserve"> </w:t>
      </w:r>
      <w:r>
        <w:rPr>
          <w:rFonts w:ascii="Arial" w:cs="Arial" w:eastAsia="Arial" w:hAnsi="Arial"/>
          <w:sz w:val="19"/>
          <w:szCs w:val="19"/>
          <w:color w:val="auto"/>
        </w:rPr>
        <w:t>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10 of the Agreement: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20"/>
          </w:cols>
          <w:pgMar w:left="320" w:top="1405" w:right="359" w:bottom="1440" w:gutter="0" w:footer="0" w:header="0"/>
        </w:sectPr>
      </w:pPr>
    </w:p>
    <w:bookmarkStart w:id="141" w:name="page142"/>
    <w:bookmarkEnd w:id="141"/>
    <w:p>
      <w:pPr>
        <w:ind w:right="100"/>
        <w:spacing w:after="0" w:line="231" w:lineRule="auto"/>
        <w:rPr>
          <w:sz w:val="20"/>
          <w:szCs w:val="20"/>
          <w:color w:val="auto"/>
        </w:rPr>
      </w:pPr>
      <w:r>
        <w:rPr>
          <w:rFonts w:ascii="Arial" w:cs="Arial" w:eastAsia="Arial" w:hAnsi="Arial"/>
          <w:sz w:val="18"/>
          <w:szCs w:val="18"/>
          <w:color w:val="auto"/>
        </w:rPr>
        <w:t>The Participant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The Participant may be required to repatriate certain cash amounts received with respect to the LTI Award</w:t>
      </w:r>
      <w:r>
        <w:rPr>
          <w:rFonts w:ascii="Arial" w:cs="Arial" w:eastAsia="Arial" w:hAnsi="Arial"/>
          <w:sz w:val="18"/>
          <w:szCs w:val="18"/>
          <w:b w:val="1"/>
          <w:bCs w:val="1"/>
          <w:color w:val="auto"/>
        </w:rPr>
        <w:t xml:space="preserve"> </w:t>
      </w:r>
      <w:r>
        <w:rPr>
          <w:rFonts w:ascii="Arial" w:cs="Arial" w:eastAsia="Arial" w:hAnsi="Arial"/>
          <w:sz w:val="18"/>
          <w:szCs w:val="18"/>
          <w:color w:val="auto"/>
        </w:rPr>
        <w:t>Payout to Russia as soon as the Participant intends to use those cash amounts for any purpose, including reinvestment. If the repatriation requirement applies, such funds must initially be credited to the Participant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 The Participant should contact their personal advisor to ensure compliance with the applicable exchange control requirements prior to the LTI Award Payout and/or selling Common Stock.</w:t>
      </w:r>
    </w:p>
    <w:p>
      <w:pPr>
        <w:spacing w:after="0" w:line="155" w:lineRule="exact"/>
        <w:rPr>
          <w:sz w:val="20"/>
          <w:szCs w:val="20"/>
          <w:color w:val="auto"/>
        </w:rPr>
      </w:pPr>
    </w:p>
    <w:p>
      <w:pPr>
        <w:ind w:right="780"/>
        <w:spacing w:after="0" w:line="276"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Participant continues to hold shares of Common Stock acquired at vesting of the LTI Grant after an</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termination of employment, the Participant will not be eligible to receive unemployment benefits in Russia.</w:t>
      </w:r>
    </w:p>
    <w:p>
      <w:pPr>
        <w:spacing w:after="0" w:line="118"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Russian residents are required to report the opening, closing or change of details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 (including Common Stock) transactions in offshore accounts. The Participant should consult with their personal legal advisor to determine the applicability of these reporting requirements to any brokerage account opened in connection with participation in the Plan.</w:t>
      </w:r>
    </w:p>
    <w:p>
      <w:pPr>
        <w:spacing w:after="0" w:line="149" w:lineRule="exact"/>
        <w:rPr>
          <w:sz w:val="20"/>
          <w:szCs w:val="20"/>
          <w:color w:val="auto"/>
        </w:rPr>
      </w:pPr>
    </w:p>
    <w:p>
      <w:pPr>
        <w:jc w:val="both"/>
        <w:ind w:right="460"/>
        <w:spacing w:after="0" w:line="214"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Participant should inform the Company if the Participant is covered by these laws because the Participant should not hold shares of Common Stock acquired under the Plan.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This document may not be distributed in the Kingdom of Saudi Arabia except to such persons as are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Offer of Securities Regulations and Continuing Obligations issued by the Capital Market Authority.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05" w:right="339" w:bottom="1440" w:gutter="0" w:footer="0" w:header="0"/>
        </w:sectPr>
      </w:pPr>
    </w:p>
    <w:bookmarkStart w:id="142" w:name="page143"/>
    <w:bookmarkEnd w:id="142"/>
    <w:p>
      <w:pPr>
        <w:ind w:right="20"/>
        <w:spacing w:after="0" w:line="236"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Pursuant to the Law on Foreign Exchange Transactions, the Participant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60"/>
        <w:spacing w:after="0" w:line="226" w:lineRule="auto"/>
        <w:rPr>
          <w:sz w:val="20"/>
          <w:szCs w:val="20"/>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The Participant agrees that any shares of Common Stock acquired pursuant to the LTI Grant will not be offered for</w:t>
      </w:r>
      <w:r>
        <w:rPr>
          <w:rFonts w:ascii="Arial" w:cs="Arial" w:eastAsia="Arial" w:hAnsi="Arial"/>
          <w:sz w:val="19"/>
          <w:szCs w:val="19"/>
          <w:b w:val="1"/>
          <w:bCs w:val="1"/>
          <w:color w:val="auto"/>
        </w:rPr>
        <w:t xml:space="preserve"> </w:t>
      </w:r>
      <w:r>
        <w:rPr>
          <w:rFonts w:ascii="Arial" w:cs="Arial" w:eastAsia="Arial" w:hAnsi="Arial"/>
          <w:sz w:val="19"/>
          <w:szCs w:val="19"/>
          <w:color w:val="auto"/>
        </w:rPr>
        <w:t>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0"/>
        <w:spacing w:after="0" w:line="220"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is being made pursuant to the “Qualifying Person” exemption under section 273(1)(f)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SFA and is not made to the Participant with a view to the LTI Grant being subsequently offered for sale to any other party. The Plan has not been lodged or registered as a prospectus with the Monetary Authority of Singapore.</w:t>
      </w:r>
    </w:p>
    <w:p>
      <w:pPr>
        <w:spacing w:after="0" w:line="151"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The directors, associate directors and shadow directors of a Singapore subsidiary or affiliate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certain notification requirements under the Singapore Companies Act. The directors, associate directors and shadow directors must notify the Singapore subsidiary or affiliate in writing of an interest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LTI Grant, shares of Common Stock, etc.) in the Company or any related companies within two business days of (i) its acquisition or disposal, (ii) any change in a previously disclosed interest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when the shares of Common Stock are sold), or (iii) becoming a director, associate director or shadow director. If the Participant is the chief executive officer (“CEO”) of a Singapore subsidiary or affiliate and the above notification requirements are determined to apply to the CEO of a Singapore subsidiary or affiliate, the above notification requirements also may apply to the Participant.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0"/>
        <w:spacing w:after="0" w:line="232"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05" w:right="339" w:bottom="1440" w:gutter="0" w:footer="0" w:header="0"/>
        </w:sectPr>
      </w:pPr>
    </w:p>
    <w:bookmarkStart w:id="143" w:name="page144"/>
    <w:bookmarkEnd w:id="143"/>
    <w:p>
      <w:pPr>
        <w:ind w:right="20"/>
        <w:spacing w:after="0" w:line="218" w:lineRule="auto"/>
        <w:rPr>
          <w:sz w:val="20"/>
          <w:szCs w:val="20"/>
          <w:color w:val="auto"/>
        </w:rPr>
      </w:pPr>
      <w:r>
        <w:rPr>
          <w:rFonts w:ascii="Arial" w:cs="Arial" w:eastAsia="Arial" w:hAnsi="Arial"/>
          <w:sz w:val="20"/>
          <w:szCs w:val="20"/>
          <w:color w:val="auto"/>
        </w:rPr>
        <w:t>account. The Participant should consult with his or her personal tax advisor to determine whether this requirement will be applicable to any accounts opened in connection with the Participant’s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Participant e’s brokerage account with the Company’s designated broker).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420"/>
        <w:spacing w:after="0" w:line="232"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on the Company’s public site or intranet site, as applicable, as listed below:</w:t>
      </w:r>
    </w:p>
    <w:p>
      <w:pPr>
        <w:spacing w:after="0" w:line="155" w:lineRule="exact"/>
        <w:rPr>
          <w:sz w:val="20"/>
          <w:szCs w:val="20"/>
          <w:color w:val="auto"/>
        </w:rPr>
      </w:pPr>
    </w:p>
    <w:p>
      <w:pPr>
        <w:ind w:left="660" w:right="920" w:hanging="328"/>
        <w:spacing w:after="0" w:line="229" w:lineRule="auto"/>
        <w:tabs>
          <w:tab w:leader="none" w:pos="660" w:val="left"/>
        </w:tabs>
        <w:numPr>
          <w:ilvl w:val="0"/>
          <w:numId w:val="83"/>
        </w:numPr>
        <w:rPr>
          <w:rFonts w:ascii="Arial" w:cs="Arial" w:eastAsia="Arial" w:hAnsi="Arial"/>
          <w:sz w:val="20"/>
          <w:szCs w:val="20"/>
          <w:i w:val="1"/>
          <w:iCs w:val="1"/>
          <w:color w:val="auto"/>
        </w:rPr>
      </w:pPr>
      <w:r>
        <w:rPr>
          <w:rFonts w:ascii="Arial" w:cs="Arial" w:eastAsia="Arial" w:hAnsi="Arial"/>
          <w:sz w:val="20"/>
          <w:szCs w:val="20"/>
          <w:color w:val="auto"/>
        </w:rPr>
        <w:t xml:space="preserve">The Company’s most recent Annual Report (Form 10-K): from the investor relations section of the Company’s website at </w:t>
      </w:r>
      <w:r>
        <w:rPr>
          <w:rFonts w:ascii="Arial" w:cs="Arial" w:eastAsia="Arial" w:hAnsi="Arial"/>
          <w:sz w:val="20"/>
          <w:szCs w:val="20"/>
          <w:u w:val="single" w:color="auto"/>
          <w:color w:val="auto"/>
        </w:rPr>
        <w:t>http://www.mondelezinternational.com/investors</w:t>
      </w:r>
      <w:r>
        <w:rPr>
          <w:rFonts w:ascii="Arial" w:cs="Arial" w:eastAsia="Arial" w:hAnsi="Arial"/>
          <w:sz w:val="20"/>
          <w:szCs w:val="20"/>
          <w:color w:val="auto"/>
        </w:rPr>
        <w:t>.</w:t>
      </w:r>
    </w:p>
    <w:p>
      <w:pPr>
        <w:spacing w:after="0" w:line="155" w:lineRule="exact"/>
        <w:rPr>
          <w:rFonts w:ascii="Arial" w:cs="Arial" w:eastAsia="Arial" w:hAnsi="Arial"/>
          <w:sz w:val="20"/>
          <w:szCs w:val="20"/>
          <w:i w:val="1"/>
          <w:iCs w:val="1"/>
          <w:color w:val="auto"/>
        </w:rPr>
      </w:pPr>
    </w:p>
    <w:p>
      <w:pPr>
        <w:ind w:left="660" w:right="1240" w:hanging="328"/>
        <w:spacing w:after="0" w:line="229" w:lineRule="auto"/>
        <w:tabs>
          <w:tab w:leader="none" w:pos="660" w:val="left"/>
        </w:tabs>
        <w:numPr>
          <w:ilvl w:val="0"/>
          <w:numId w:val="83"/>
        </w:numPr>
        <w:rPr>
          <w:rFonts w:ascii="Arial" w:cs="Arial" w:eastAsia="Arial" w:hAnsi="Arial"/>
          <w:sz w:val="20"/>
          <w:szCs w:val="20"/>
          <w:i w:val="1"/>
          <w:iCs w:val="1"/>
          <w:color w:val="auto"/>
        </w:rPr>
      </w:pPr>
      <w:r>
        <w:rPr>
          <w:rFonts w:ascii="Arial" w:cs="Arial" w:eastAsia="Arial" w:hAnsi="Arial"/>
          <w:sz w:val="20"/>
          <w:szCs w:val="20"/>
          <w:color w:val="auto"/>
        </w:rPr>
        <w:t xml:space="preserve">The Company’s most recent Plan prospectus: a copy of which can be found on the Company’s Intranet site located at: </w:t>
      </w:r>
      <w:r>
        <w:rPr>
          <w:rFonts w:ascii="Arial" w:cs="Arial" w:eastAsia="Arial" w:hAnsi="Arial"/>
          <w:sz w:val="20"/>
          <w:szCs w:val="20"/>
          <w:u w:val="single" w:color="auto"/>
          <w:color w:val="auto"/>
        </w:rPr>
        <w:t>https://intranet.mdlz.com/sites/globalhr/comp/Pages/Legal-Documents.aspx</w:t>
      </w:r>
      <w:r>
        <w:rPr>
          <w:rFonts w:ascii="Arial" w:cs="Arial" w:eastAsia="Arial" w:hAnsi="Arial"/>
          <w:sz w:val="20"/>
          <w:szCs w:val="20"/>
          <w:color w:val="auto"/>
        </w:rPr>
        <w:t>.</w:t>
      </w:r>
    </w:p>
    <w:p>
      <w:pPr>
        <w:spacing w:after="0" w:line="155" w:lineRule="exact"/>
        <w:rPr>
          <w:sz w:val="20"/>
          <w:szCs w:val="20"/>
          <w:color w:val="auto"/>
        </w:rPr>
      </w:pPr>
    </w:p>
    <w:p>
      <w:pPr>
        <w:ind w:right="140"/>
        <w:spacing w:after="0" w:line="218" w:lineRule="auto"/>
        <w:rPr>
          <w:sz w:val="20"/>
          <w:szCs w:val="20"/>
          <w:color w:val="auto"/>
        </w:rPr>
      </w:pPr>
      <w:r>
        <w:rPr>
          <w:rFonts w:ascii="Arial" w:cs="Arial" w:eastAsia="Arial" w:hAnsi="Arial"/>
          <w:sz w:val="20"/>
          <w:szCs w:val="20"/>
          <w:color w:val="auto"/>
        </w:rPr>
        <w:t>The Participant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18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By participating in the Plan and receiving the LTI Grant, the Participant understands and acknowledges that he or she is required to notify the Employer of the amount of any gain realized upon vesting of the LTI Grant.</w:t>
      </w:r>
    </w:p>
    <w:p>
      <w:pPr>
        <w:spacing w:after="0" w:line="149" w:lineRule="exact"/>
        <w:rPr>
          <w:sz w:val="20"/>
          <w:szCs w:val="20"/>
          <w:color w:val="auto"/>
        </w:rPr>
      </w:pPr>
    </w:p>
    <w:p>
      <w:pPr>
        <w:ind w:right="140"/>
        <w:spacing w:after="0" w:line="22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Participant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w:t>
      </w:r>
      <w:r>
        <w:rPr>
          <w:rFonts w:ascii="Arial" w:cs="Arial" w:eastAsia="Arial" w:hAnsi="Arial"/>
          <w:sz w:val="18"/>
          <w:szCs w:val="18"/>
          <w:b w:val="1"/>
          <w:bCs w:val="1"/>
          <w:color w:val="auto"/>
        </w:rPr>
        <w:t xml:space="preserve"> </w:t>
      </w:r>
      <w:r>
        <w:rPr>
          <w:rFonts w:ascii="Arial" w:cs="Arial" w:eastAsia="Arial" w:hAnsi="Arial"/>
          <w:sz w:val="18"/>
          <w:szCs w:val="18"/>
          <w:color w:val="auto"/>
        </w:rPr>
        <w:t>Korean 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9 of the Agreement: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00"/>
          </w:cols>
          <w:pgMar w:left="320" w:top="1405" w:right="379" w:bottom="1440" w:gutter="0" w:footer="0" w:header="0"/>
        </w:sectPr>
      </w:pPr>
    </w:p>
    <w:bookmarkStart w:id="144" w:name="page145"/>
    <w:bookmarkEnd w:id="144"/>
    <w:p>
      <w:pPr>
        <w:ind w:right="280"/>
        <w:spacing w:after="0" w:line="229" w:lineRule="auto"/>
        <w:rPr>
          <w:sz w:val="20"/>
          <w:szCs w:val="20"/>
          <w:color w:val="auto"/>
        </w:rPr>
      </w:pPr>
      <w:r>
        <w:rPr>
          <w:rFonts w:ascii="Arial" w:cs="Arial" w:eastAsia="Arial" w:hAnsi="Arial"/>
          <w:sz w:val="20"/>
          <w:szCs w:val="20"/>
          <w:color w:val="auto"/>
        </w:rPr>
        <w:t>In accepting the LTI Grant, the Participant consents to participation in the Plan and acknowledges that he or she has received a copy of the Plan.</w:t>
      </w:r>
    </w:p>
    <w:p>
      <w:pPr>
        <w:spacing w:after="0" w:line="15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52" w:lineRule="exact"/>
        <w:rPr>
          <w:sz w:val="20"/>
          <w:szCs w:val="20"/>
          <w:color w:val="auto"/>
        </w:rPr>
      </w:pPr>
    </w:p>
    <w:p>
      <w:pPr>
        <w:spacing w:after="0" w:line="217" w:lineRule="auto"/>
        <w:rPr>
          <w:sz w:val="20"/>
          <w:szCs w:val="20"/>
          <w:color w:val="auto"/>
        </w:rPr>
      </w:pPr>
      <w:r>
        <w:rPr>
          <w:rFonts w:ascii="Arial" w:cs="Arial" w:eastAsia="Arial" w:hAnsi="Arial"/>
          <w:sz w:val="19"/>
          <w:szCs w:val="19"/>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56" w:lineRule="exact"/>
        <w:rPr>
          <w:sz w:val="20"/>
          <w:szCs w:val="20"/>
          <w:color w:val="auto"/>
        </w:rPr>
      </w:pPr>
    </w:p>
    <w:p>
      <w:pPr>
        <w:ind w:right="40"/>
        <w:spacing w:after="0" w:line="213" w:lineRule="auto"/>
        <w:rPr>
          <w:sz w:val="20"/>
          <w:szCs w:val="20"/>
          <w:color w:val="auto"/>
        </w:rPr>
      </w:pPr>
      <w:r>
        <w:rPr>
          <w:rFonts w:ascii="Arial" w:cs="Arial" w:eastAsia="Arial" w:hAnsi="Arial"/>
          <w:sz w:val="19"/>
          <w:szCs w:val="19"/>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LTI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40"/>
        <w:spacing w:after="0" w:line="220"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51" w:lineRule="exact"/>
        <w:rPr>
          <w:sz w:val="20"/>
          <w:szCs w:val="20"/>
          <w:color w:val="auto"/>
        </w:rPr>
      </w:pPr>
    </w:p>
    <w:p>
      <w:pPr>
        <w:ind w:right="100"/>
        <w:spacing w:after="0" w:line="21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Participant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Spanish Dirección General 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D-6.</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Participant holds 10% or more of the share capital of the Company), the declaration must be filed within one month of the acquisition or disposition, as applicable.</w:t>
      </w:r>
    </w:p>
    <w:p>
      <w:pPr>
        <w:spacing w:after="0" w:line="16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the Participant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05" w:right="339" w:bottom="1440" w:gutter="0" w:footer="0" w:header="0"/>
        </w:sectPr>
      </w:pPr>
    </w:p>
    <w:bookmarkStart w:id="145" w:name="page146"/>
    <w:bookmarkEnd w:id="145"/>
    <w:p>
      <w:pPr>
        <w:ind w:right="80"/>
        <w:spacing w:after="0" w:line="258"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Participant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w:t>
      </w:r>
    </w:p>
    <w:p>
      <w:pPr>
        <w:spacing w:after="0"/>
        <w:rPr>
          <w:sz w:val="20"/>
          <w:szCs w:val="20"/>
          <w:color w:val="auto"/>
        </w:rPr>
      </w:pPr>
      <w:r>
        <w:rPr>
          <w:rFonts w:ascii="Arial" w:cs="Arial" w:eastAsia="Arial" w:hAnsi="Arial"/>
          <w:sz w:val="16"/>
          <w:szCs w:val="16"/>
          <w:color w:val="auto"/>
        </w:rPr>
        <w:t>previously-reported rights or assets increases by more than €20,000, or if ownership of the asset is transferred or relinquished during the year.</w:t>
      </w:r>
    </w:p>
    <w:p>
      <w:pPr>
        <w:spacing w:after="0" w:line="1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18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Without limiting the Company’s and the Employer’s authority to satisfy their withholding obligations for Tax-Related Items as set forth in paragraph 8 of the Agreement, by accepting the LTI Grants,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60"/>
        <w:spacing w:after="0" w:line="211"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Neither this document nor any other materials relating to the LTI Grant (i) constitutes a prospectus according</w:t>
      </w:r>
      <w:r>
        <w:rPr>
          <w:rFonts w:ascii="Arial" w:cs="Arial" w:eastAsia="Arial" w:hAnsi="Arial"/>
          <w:sz w:val="20"/>
          <w:szCs w:val="20"/>
          <w:b w:val="1"/>
          <w:bCs w:val="1"/>
          <w:color w:val="auto"/>
        </w:rPr>
        <w:t xml:space="preserve"> </w:t>
      </w:r>
      <w:r>
        <w:rPr>
          <w:rFonts w:ascii="Arial" w:cs="Arial" w:eastAsia="Arial" w:hAnsi="Arial"/>
          <w:sz w:val="20"/>
          <w:szCs w:val="20"/>
          <w:color w:val="auto"/>
        </w:rPr>
        <w:t>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00"/>
        <w:spacing w:after="0" w:line="207"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Participant hereby acknowledges that he or she has read and understood the terms regarding collection,</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20"/>
          </w:cols>
          <w:pgMar w:left="320" w:top="1399" w:right="359" w:bottom="1440" w:gutter="0" w:footer="0" w:header="0"/>
        </w:sectPr>
      </w:pPr>
    </w:p>
    <w:bookmarkStart w:id="146" w:name="page147"/>
    <w:bookmarkEnd w:id="146"/>
    <w:p>
      <w:pPr>
        <w:ind w:right="660"/>
        <w:spacing w:after="0" w:line="232"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and the shares of Common Stock to be issued pursuant to the Plan are available only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of the Mondelēz Group. The LTI Grant does not constitute a public offer of securities.</w:t>
      </w:r>
    </w:p>
    <w:p>
      <w:pPr>
        <w:spacing w:after="0" w:line="149" w:lineRule="exact"/>
        <w:rPr>
          <w:sz w:val="20"/>
          <w:szCs w:val="20"/>
          <w:color w:val="auto"/>
        </w:rPr>
      </w:pPr>
    </w:p>
    <w:p>
      <w:pPr>
        <w:spacing w:after="0" w:line="211"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acquire and remit foreign currency (including proceeds from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of Common Stock are equal to or greater than US$1,000,000 in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transaction, the Participant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Participant must provide details of the transaction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identification information and purposes of the transaction) to the receiving bank. If the Participant fails to comply with these obligations, the Participant may be subject to penalties assessed by the Bank of Thailand.</w:t>
      </w:r>
    </w:p>
    <w:p>
      <w:pPr>
        <w:spacing w:after="0" w:line="160"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color w:val="auto"/>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Participant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51" w:lineRule="exact"/>
        <w:rPr>
          <w:sz w:val="20"/>
          <w:szCs w:val="20"/>
          <w:color w:val="auto"/>
        </w:rPr>
      </w:pPr>
    </w:p>
    <w:p>
      <w:pPr>
        <w:ind w:right="20"/>
        <w:spacing w:after="0" w:line="211"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be required to engage a Turkish financial intermediary to assist with the sale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Participant is solely responsible for complying with applicable Ukraine exchange control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Since the exchange control regulations change frequently and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180"/>
          </w:cols>
          <w:pgMar w:left="320" w:top="1399" w:right="399" w:bottom="1440" w:gutter="0" w:footer="0" w:header="0"/>
        </w:sectPr>
      </w:pPr>
    </w:p>
    <w:bookmarkStart w:id="147" w:name="page148"/>
    <w:bookmarkEnd w:id="147"/>
    <w:p>
      <w:pPr>
        <w:ind w:right="320"/>
        <w:spacing w:after="0" w:line="213" w:lineRule="auto"/>
        <w:rPr>
          <w:sz w:val="20"/>
          <w:szCs w:val="20"/>
          <w:color w:val="auto"/>
        </w:rPr>
      </w:pPr>
      <w:r>
        <w:rPr>
          <w:rFonts w:ascii="Arial" w:cs="Arial" w:eastAsia="Arial" w:hAnsi="Arial"/>
          <w:sz w:val="20"/>
          <w:szCs w:val="20"/>
          <w:color w:val="auto"/>
        </w:rPr>
        <w:t>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Participants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spacing w:after="0" w:line="158"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181" w:lineRule="exact"/>
        <w:rPr>
          <w:sz w:val="20"/>
          <w:szCs w:val="20"/>
          <w:color w:val="auto"/>
        </w:rPr>
      </w:pPr>
    </w:p>
    <w:p>
      <w:pPr>
        <w:ind w:right="60"/>
        <w:spacing w:after="0" w:line="207"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18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Without limitation to paragraph 8 of the Agreement, the Participant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spacing w:after="0" w:line="156" w:lineRule="exact"/>
        <w:rPr>
          <w:sz w:val="20"/>
          <w:szCs w:val="20"/>
          <w:color w:val="auto"/>
        </w:rPr>
      </w:pPr>
    </w:p>
    <w:p>
      <w:pPr>
        <w:spacing w:after="0" w:line="216" w:lineRule="auto"/>
        <w:rPr>
          <w:sz w:val="20"/>
          <w:szCs w:val="20"/>
          <w:color w:val="auto"/>
        </w:rPr>
      </w:pPr>
      <w:r>
        <w:rPr>
          <w:rFonts w:ascii="Arial" w:cs="Arial" w:eastAsia="Arial" w:hAnsi="Arial"/>
          <w:sz w:val="19"/>
          <w:szCs w:val="19"/>
          <w:color w:val="auto"/>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05" w:right="339" w:bottom="1440" w:gutter="0" w:footer="0" w:header="0"/>
        </w:sectPr>
      </w:pPr>
    </w:p>
    <w:bookmarkStart w:id="148" w:name="page149"/>
    <w:bookmarkEnd w:id="148"/>
    <w:p>
      <w:pPr>
        <w:jc w:val="both"/>
        <w:ind w:right="120"/>
        <w:spacing w:after="0" w:line="218" w:lineRule="auto"/>
        <w:rPr>
          <w:sz w:val="20"/>
          <w:szCs w:val="20"/>
          <w:color w:val="auto"/>
        </w:rPr>
      </w:pPr>
      <w:r>
        <w:rPr>
          <w:rFonts w:ascii="Arial" w:cs="Arial" w:eastAsia="Arial" w:hAnsi="Arial"/>
          <w:sz w:val="20"/>
          <w:szCs w:val="20"/>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0"/>
        <w:spacing w:after="0" w:line="226" w:lineRule="auto"/>
        <w:rPr>
          <w:sz w:val="20"/>
          <w:szCs w:val="20"/>
          <w:color w:val="auto"/>
        </w:rPr>
      </w:pPr>
      <w:r>
        <w:rPr>
          <w:rFonts w:ascii="Arial" w:cs="Arial" w:eastAsia="Arial" w:hAnsi="Arial"/>
          <w:sz w:val="19"/>
          <w:szCs w:val="19"/>
          <w:b w:val="1"/>
          <w:bCs w:val="1"/>
          <w:color w:val="auto"/>
        </w:rPr>
        <w:t>Foreign Asset/Accounting Reporting Information</w:t>
      </w:r>
      <w:r>
        <w:rPr>
          <w:rFonts w:ascii="Arial" w:cs="Arial" w:eastAsia="Arial" w:hAnsi="Arial"/>
          <w:sz w:val="19"/>
          <w:szCs w:val="19"/>
          <w:color w:val="auto"/>
        </w:rPr>
        <w:t>. If the Participant holds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Common Stock) or other financial assets in an</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20"/>
        <w:spacing w:after="0" w:line="214" w:lineRule="auto"/>
        <w:rPr>
          <w:sz w:val="20"/>
          <w:szCs w:val="20"/>
          <w:color w:val="auto"/>
        </w:rPr>
      </w:pPr>
      <w:r>
        <w:rPr>
          <w:rFonts w:ascii="Arial" w:cs="Arial" w:eastAsia="Arial" w:hAnsi="Arial"/>
          <w:sz w:val="20"/>
          <w:szCs w:val="20"/>
          <w:b w:val="1"/>
          <w:bCs w:val="1"/>
          <w:color w:val="auto"/>
        </w:rPr>
        <w:t>Data Privacy Consent</w:t>
      </w:r>
      <w:r>
        <w:rPr>
          <w:rFonts w:ascii="Arial" w:cs="Arial" w:eastAsia="Arial" w:hAnsi="Arial"/>
          <w:sz w:val="20"/>
          <w:szCs w:val="20"/>
          <w:color w:val="auto"/>
        </w:rPr>
        <w:t>. The Participant understands that the Data will be collected by the Employer and will be transferred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at 905 West Fulton Market, Suite 200, Chicago, Illinois 60607, U.S.A. and/or any financial institutions or brokers involved in the management and administration of the Plan. The Participant further understands that any of these entities may store the Data for purposes of administering the Participant’s participation in the Plan.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 xml:space="preserve">Investment Representation. </w:t>
      </w:r>
      <w:r>
        <w:rPr>
          <w:rFonts w:ascii="Arial" w:cs="Arial" w:eastAsia="Arial" w:hAnsi="Arial"/>
          <w:sz w:val="20"/>
          <w:szCs w:val="20"/>
          <w:color w:val="auto"/>
        </w:rPr>
        <w:t>As a condition of the LTI Grant, the Participant acknowledges and agrees that any shares of Common Stock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acquire upon the settlement of the LTI Grant are acquired as and intended to be an investment rather than for the resale of the shares of Common Stock and conversion of shares into foreign currency.</w:t>
      </w:r>
    </w:p>
    <w:p>
      <w:pPr>
        <w:spacing w:after="0" w:line="151"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vest in the LTI Grant or remit funds into Venezuela</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40"/>
        <w:spacing w:after="0" w:line="249"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380"/>
        <w:spacing w:after="0" w:line="220" w:lineRule="auto"/>
        <w:rPr>
          <w:sz w:val="20"/>
          <w:szCs w:val="20"/>
          <w:color w:val="auto"/>
        </w:rPr>
      </w:pPr>
      <w:r>
        <w:rPr>
          <w:rFonts w:ascii="Arial" w:cs="Arial" w:eastAsia="Arial" w:hAnsi="Arial"/>
          <w:sz w:val="20"/>
          <w:szCs w:val="20"/>
          <w:b w:val="1"/>
          <w:bCs w:val="1"/>
          <w:color w:val="auto"/>
        </w:rPr>
        <w:t xml:space="preserve">LTI Grant Payable Only in Cash. </w:t>
      </w:r>
      <w:r>
        <w:rPr>
          <w:rFonts w:ascii="Arial" w:cs="Arial" w:eastAsia="Arial" w:hAnsi="Arial"/>
          <w:sz w:val="20"/>
          <w:szCs w:val="20"/>
          <w:color w:val="auto"/>
        </w:rPr>
        <w:t>Notwithstanding any discretion in the Plan or anything to the contrary in the Agreement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paragraph 4 of the Agreement), the LTI Grant does not provide any right for the Participant to receive shares of Common Stock. The LTI Grant made to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20"/>
          </w:cols>
          <w:pgMar w:left="320" w:top="1405" w:right="35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Participant in Vietnam shall be paid in cash in an amount equal to the cash equivalent value of the LTI Award Payout.</w:t>
      </w:r>
    </w:p>
    <w:p>
      <w:pPr>
        <w:sectPr>
          <w:pgSz w:w="11900" w:h="16838" w:orient="portrait"/>
          <w:cols w:equalWidth="0" w:num="1">
            <w:col w:w="10139"/>
          </w:cols>
          <w:pgMar w:left="320" w:top="14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0139"/>
          </w:cols>
          <w:pgMar w:left="320" w:top="1405" w:right="1440" w:bottom="1440" w:gutter="0" w:footer="0" w:header="0"/>
          <w:type w:val="continuous"/>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20"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DEFERRED STOCK UNIT AGREEMENT</w:t>
      </w:r>
    </w:p>
    <w:p>
      <w:pPr>
        <w:spacing w:after="0" w:line="181" w:lineRule="exact"/>
        <w:rPr>
          <w:sz w:val="20"/>
          <w:szCs w:val="20"/>
          <w:color w:val="auto"/>
        </w:rPr>
      </w:pPr>
    </w:p>
    <w:p>
      <w:pPr>
        <w:ind w:right="20" w:firstLine="648"/>
        <w:spacing w:after="0" w:line="215"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Employee</w:t>
      </w:r>
      <w:r>
        <w:rPr>
          <w:rFonts w:ascii="Arial" w:cs="Arial" w:eastAsia="Arial" w:hAnsi="Arial"/>
          <w:sz w:val="19"/>
          <w:szCs w:val="19"/>
          <w:color w:val="auto"/>
        </w:rPr>
        <w:t>”) named in the award statement provided to the Employee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as of the date set forth in the Award Statement (the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pursuant to the provisions of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Deferred Stock Units (the “</w:t>
      </w:r>
      <w:r>
        <w:rPr>
          <w:rFonts w:ascii="Arial" w:cs="Arial" w:eastAsia="Arial" w:hAnsi="Arial"/>
          <w:sz w:val="19"/>
          <w:szCs w:val="19"/>
          <w:u w:val="single" w:color="auto"/>
          <w:color w:val="auto"/>
        </w:rPr>
        <w:t>Grant</w:t>
      </w:r>
      <w:r>
        <w:rPr>
          <w:rFonts w:ascii="Arial" w:cs="Arial" w:eastAsia="Arial" w:hAnsi="Arial"/>
          <w:sz w:val="19"/>
          <w:szCs w:val="19"/>
          <w:color w:val="auto"/>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Grant is subject to the following terms and conditions (including the country-specific terms set forth in Appendix A to this</w:t>
      </w:r>
    </w:p>
    <w:p>
      <w:pPr>
        <w:spacing w:after="0"/>
        <w:rPr>
          <w:sz w:val="20"/>
          <w:szCs w:val="20"/>
          <w:color w:val="auto"/>
        </w:rPr>
      </w:pPr>
      <w:r>
        <w:rPr>
          <w:rFonts w:ascii="Arial" w:cs="Arial" w:eastAsia="Arial" w:hAnsi="Arial"/>
          <w:sz w:val="20"/>
          <w:szCs w:val="20"/>
          <w:color w:val="auto"/>
        </w:rPr>
        <w:t>Agreement):</w:t>
      </w:r>
    </w:p>
    <w:p>
      <w:pPr>
        <w:spacing w:after="0" w:line="153" w:lineRule="exact"/>
        <w:rPr>
          <w:sz w:val="20"/>
          <w:szCs w:val="20"/>
          <w:color w:val="auto"/>
        </w:rPr>
      </w:pPr>
    </w:p>
    <w:p>
      <w:pPr>
        <w:jc w:val="both"/>
        <w:ind w:right="60" w:firstLine="648"/>
        <w:spacing w:after="0" w:line="226" w:lineRule="auto"/>
        <w:rPr>
          <w:sz w:val="20"/>
          <w:szCs w:val="20"/>
          <w:color w:val="auto"/>
        </w:rPr>
      </w:pPr>
      <w:r>
        <w:rPr>
          <w:rFonts w:ascii="Arial" w:cs="Arial" w:eastAsia="Arial" w:hAnsi="Arial"/>
          <w:sz w:val="19"/>
          <w:szCs w:val="19"/>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55" w:lineRule="exact"/>
        <w:rPr>
          <w:sz w:val="20"/>
          <w:szCs w:val="20"/>
          <w:color w:val="auto"/>
        </w:rPr>
      </w:pPr>
    </w:p>
    <w:p>
      <w:pPr>
        <w:ind w:right="60" w:firstLine="656"/>
        <w:spacing w:after="0" w:line="289" w:lineRule="auto"/>
        <w:tabs>
          <w:tab w:leader="none" w:pos="994"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Except as expressly provided in this Agreement, the restrictions on the Deferred Stock Units shall lapse and the Deferred Stock Units shall vest on the Vesting Date shown in the Award Statement (the “</w:t>
      </w:r>
      <w:r>
        <w:rPr>
          <w:rFonts w:ascii="Arial" w:cs="Arial" w:eastAsia="Arial" w:hAnsi="Arial"/>
          <w:sz w:val="16"/>
          <w:szCs w:val="16"/>
          <w:u w:val="single" w:color="auto"/>
          <w:color w:val="auto"/>
        </w:rPr>
        <w:t>Vesting Date</w:t>
      </w:r>
      <w:r>
        <w:rPr>
          <w:rFonts w:ascii="Arial" w:cs="Arial" w:eastAsia="Arial" w:hAnsi="Arial"/>
          <w:sz w:val="16"/>
          <w:szCs w:val="16"/>
          <w:color w:val="auto"/>
        </w:rPr>
        <w:t>”), provided that the Employee remains an active employee of the Mondelēz Group during the entire period commencing on the Grant Date and ending on the Vesting Date.</w:t>
      </w:r>
    </w:p>
    <w:p>
      <w:pPr>
        <w:spacing w:after="0" w:line="118" w:lineRule="exact"/>
        <w:rPr>
          <w:rFonts w:ascii="Arial" w:cs="Arial" w:eastAsia="Arial" w:hAnsi="Arial"/>
          <w:sz w:val="16"/>
          <w:szCs w:val="16"/>
          <w:color w:val="auto"/>
        </w:rPr>
      </w:pPr>
    </w:p>
    <w:p>
      <w:pPr>
        <w:ind w:right="60" w:firstLine="656"/>
        <w:spacing w:after="0" w:line="213" w:lineRule="auto"/>
        <w:tabs>
          <w:tab w:leader="none" w:pos="99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Before Vesting Date</w:t>
      </w:r>
      <w:r>
        <w:rPr>
          <w:rFonts w:ascii="Arial" w:cs="Arial" w:eastAsia="Arial" w:hAnsi="Arial"/>
          <w:sz w:val="20"/>
          <w:szCs w:val="20"/>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155" w:lineRule="exact"/>
        <w:rPr>
          <w:rFonts w:ascii="Arial" w:cs="Arial" w:eastAsia="Arial" w:hAnsi="Arial"/>
          <w:sz w:val="20"/>
          <w:szCs w:val="20"/>
          <w:color w:val="auto"/>
        </w:rPr>
      </w:pPr>
    </w:p>
    <w:p>
      <w:pPr>
        <w:ind w:right="280" w:firstLine="1304"/>
        <w:spacing w:after="0" w:line="269" w:lineRule="auto"/>
        <w:tabs>
          <w:tab w:leader="none" w:pos="1713"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Employee’s death or Disability (as defined below in paragraph 21), the restrictions on the Deferred Stock Units shall lapse and the Deferred Stock Units shall become fully vested on the date of the Employee’s death or termination due to Disability; or</w:t>
      </w:r>
    </w:p>
    <w:p>
      <w:pPr>
        <w:spacing w:after="0" w:line="130" w:lineRule="exact"/>
        <w:rPr>
          <w:rFonts w:ascii="Arial" w:cs="Arial" w:eastAsia="Arial" w:hAnsi="Arial"/>
          <w:sz w:val="18"/>
          <w:szCs w:val="18"/>
          <w:color w:val="auto"/>
        </w:rPr>
      </w:pPr>
    </w:p>
    <w:p>
      <w:pPr>
        <w:ind w:right="100" w:firstLine="1304"/>
        <w:spacing w:after="0" w:line="214" w:lineRule="auto"/>
        <w:tabs>
          <w:tab w:leader="none" w:pos="1725"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Employee’s Retirement (as defined below in paragraph 21), or as otherwise determined by the Committee, and provided that (i) the Deferred Stock Units are not otherwise accounted for, or included in, the Employee’s severance or retirement arrangement with the Mondelēz Group; (ii) the Employee timely executes a general release and waiver of claims in a form and manner determined by the Company in its sole discretion; and (iii) the Retirement date occurs on or after the 91st day following the Grant Date, then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 For clarity, in the event any of (i), (ii) or (iii) of this subsection 2(b) are not met then, unless determined otherwise by the Committee, the Employee shall forfeit all rights to the Deferred Stock Units and the shares of Common Stock underlying the Deferred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4" w:right="339" w:bottom="1440" w:gutter="0" w:footer="0" w:header="0"/>
        </w:sectPr>
      </w:pPr>
    </w:p>
    <w:bookmarkStart w:id="151" w:name="page152"/>
    <w:bookmarkEnd w:id="151"/>
    <w:p>
      <w:pPr>
        <w:ind w:right="140" w:firstLine="648"/>
        <w:spacing w:after="0" w:line="216" w:lineRule="auto"/>
        <w:rPr>
          <w:sz w:val="20"/>
          <w:szCs w:val="20"/>
          <w:color w:val="auto"/>
        </w:rPr>
      </w:pPr>
      <w:r>
        <w:rPr>
          <w:rFonts w:ascii="Arial" w:cs="Arial" w:eastAsia="Arial" w:hAnsi="Arial"/>
          <w:sz w:val="19"/>
          <w:szCs w:val="19"/>
          <w:color w:val="auto"/>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55" w:lineRule="exact"/>
        <w:rPr>
          <w:sz w:val="20"/>
          <w:szCs w:val="20"/>
          <w:color w:val="auto"/>
        </w:rPr>
      </w:pPr>
    </w:p>
    <w:p>
      <w:pPr>
        <w:jc w:val="both"/>
        <w:ind w:right="160" w:firstLine="656"/>
        <w:spacing w:after="0" w:line="210" w:lineRule="auto"/>
        <w:tabs>
          <w:tab w:leader="none" w:pos="994"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Voting and Dividend Rights</w:t>
      </w:r>
      <w:r>
        <w:rPr>
          <w:rFonts w:ascii="Arial" w:cs="Arial" w:eastAsia="Arial" w:hAnsi="Arial"/>
          <w:sz w:val="20"/>
          <w:szCs w:val="20"/>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unpaid Deferred Stock Units that have not been forfeited, as such dividends are paid.</w:t>
      </w:r>
    </w:p>
    <w:p>
      <w:pPr>
        <w:spacing w:after="0" w:line="154" w:lineRule="exact"/>
        <w:rPr>
          <w:rFonts w:ascii="Arial" w:cs="Arial" w:eastAsia="Arial" w:hAnsi="Arial"/>
          <w:sz w:val="20"/>
          <w:szCs w:val="20"/>
          <w:color w:val="auto"/>
        </w:rPr>
      </w:pPr>
    </w:p>
    <w:p>
      <w:pPr>
        <w:jc w:val="both"/>
        <w:ind w:right="160" w:firstLine="656"/>
        <w:spacing w:after="0" w:line="224" w:lineRule="auto"/>
        <w:tabs>
          <w:tab w:leader="none" w:pos="99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7 below.</w:t>
      </w:r>
    </w:p>
    <w:p>
      <w:pPr>
        <w:spacing w:after="0" w:line="156" w:lineRule="exact"/>
        <w:rPr>
          <w:rFonts w:ascii="Arial" w:cs="Arial" w:eastAsia="Arial" w:hAnsi="Arial"/>
          <w:sz w:val="19"/>
          <w:szCs w:val="19"/>
          <w:color w:val="auto"/>
        </w:rPr>
      </w:pPr>
    </w:p>
    <w:p>
      <w:pPr>
        <w:ind w:firstLine="656"/>
        <w:spacing w:after="0" w:line="224" w:lineRule="auto"/>
        <w:tabs>
          <w:tab w:leader="none" w:pos="99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Employee acknowledges that regardless of any action taken by the Company or, if different, the Employee’s employer (the “</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spacing w:after="0" w:line="162" w:lineRule="exact"/>
        <w:rPr>
          <w:sz w:val="20"/>
          <w:szCs w:val="20"/>
          <w:color w:val="auto"/>
        </w:rPr>
      </w:pPr>
    </w:p>
    <w:p>
      <w:pPr>
        <w:ind w:right="100" w:firstLine="648"/>
        <w:spacing w:after="0" w:line="233" w:lineRule="auto"/>
        <w:rPr>
          <w:sz w:val="20"/>
          <w:szCs w:val="20"/>
          <w:color w:val="auto"/>
        </w:rPr>
      </w:pPr>
      <w:r>
        <w:rPr>
          <w:rFonts w:ascii="Arial" w:cs="Arial" w:eastAsia="Arial" w:hAnsi="Arial"/>
          <w:sz w:val="18"/>
          <w:szCs w:val="18"/>
          <w:color w:val="auto"/>
        </w:rPr>
        <w:t>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56" w:lineRule="exact"/>
        <w:rPr>
          <w:sz w:val="20"/>
          <w:szCs w:val="20"/>
          <w:color w:val="auto"/>
        </w:rPr>
      </w:pPr>
    </w:p>
    <w:p>
      <w:pPr>
        <w:ind w:firstLine="648"/>
        <w:spacing w:after="0" w:line="207" w:lineRule="auto"/>
        <w:rPr>
          <w:sz w:val="20"/>
          <w:szCs w:val="20"/>
          <w:color w:val="auto"/>
        </w:rPr>
      </w:pPr>
      <w:r>
        <w:rPr>
          <w:rFonts w:ascii="Arial" w:cs="Arial" w:eastAsia="Arial" w:hAnsi="Arial"/>
          <w:sz w:val="20"/>
          <w:szCs w:val="20"/>
          <w:color w:val="auto"/>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405" w:right="359" w:bottom="1440" w:gutter="0" w:footer="0" w:header="0"/>
        </w:sectPr>
      </w:pPr>
    </w:p>
    <w:bookmarkStart w:id="152" w:name="page153"/>
    <w:bookmarkEnd w:id="152"/>
    <w:p>
      <w:pPr>
        <w:spacing w:after="0" w:line="225" w:lineRule="auto"/>
        <w:rPr>
          <w:sz w:val="20"/>
          <w:szCs w:val="20"/>
          <w:color w:val="auto"/>
        </w:rPr>
      </w:pPr>
      <w:r>
        <w:rPr>
          <w:rFonts w:ascii="Arial" w:cs="Arial" w:eastAsia="Arial" w:hAnsi="Arial"/>
          <w:sz w:val="18"/>
          <w:szCs w:val="18"/>
          <w:color w:val="auto"/>
        </w:rPr>
        <w:t>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spacing w:after="0" w:line="160" w:lineRule="exact"/>
        <w:rPr>
          <w:sz w:val="20"/>
          <w:szCs w:val="20"/>
          <w:color w:val="auto"/>
        </w:rPr>
      </w:pPr>
    </w:p>
    <w:p>
      <w:pPr>
        <w:ind w:right="40" w:firstLine="392"/>
        <w:spacing w:after="0" w:line="227" w:lineRule="auto"/>
        <w:rPr>
          <w:sz w:val="20"/>
          <w:szCs w:val="20"/>
          <w:color w:val="auto"/>
        </w:rPr>
      </w:pPr>
      <w:r>
        <w:rPr>
          <w:rFonts w:ascii="Arial" w:cs="Arial" w:eastAsia="Arial" w:hAnsi="Arial"/>
          <w:sz w:val="18"/>
          <w:szCs w:val="18"/>
          <w:color w:val="auto"/>
        </w:rPr>
        <w:t>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or, if not refunded, the Employee may be able to seek a refund from the applicable tax authorities. In the event of under-withholding, the Employee may be required to pay any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spacing w:after="0" w:line="155" w:lineRule="exact"/>
        <w:rPr>
          <w:sz w:val="20"/>
          <w:szCs w:val="20"/>
          <w:color w:val="auto"/>
        </w:rPr>
      </w:pPr>
    </w:p>
    <w:p>
      <w:pPr>
        <w:ind w:right="140" w:firstLine="656"/>
        <w:spacing w:after="0" w:line="269" w:lineRule="auto"/>
        <w:tabs>
          <w:tab w:leader="none" w:pos="994"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30" w:lineRule="exact"/>
        <w:rPr>
          <w:rFonts w:ascii="Arial" w:cs="Arial" w:eastAsia="Arial" w:hAnsi="Arial"/>
          <w:sz w:val="18"/>
          <w:szCs w:val="18"/>
          <w:color w:val="auto"/>
        </w:rPr>
      </w:pPr>
    </w:p>
    <w:p>
      <w:pPr>
        <w:ind w:right="140" w:firstLine="656"/>
        <w:spacing w:after="0" w:line="228" w:lineRule="auto"/>
        <w:tabs>
          <w:tab w:leader="none" w:pos="994"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Payment of Deferred Stock Units</w:t>
      </w:r>
      <w:r>
        <w:rPr>
          <w:rFonts w:ascii="Arial" w:cs="Arial" w:eastAsia="Arial" w:hAnsi="Arial"/>
          <w:sz w:val="18"/>
          <w:szCs w:val="18"/>
          <w:color w:val="auto"/>
        </w:rPr>
        <w:t>. Each Deferred Stock Unit granted pursuant to this Grant represents an unfunded and unsecured promise of the Company to issue to the Employee,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and Section 9), such issuance shall be made to the Employee (or, in the event of his or her death to the Employee’s estate or beneficiary as provided above) in the form of Common Stock as soon as practicable, but not later than 30 days, following the vesting of the Deferred Stock Units pursuant to paragraph 1 or 2 (and with respect to the vesting of Deferred Stock Units pursuant to paragraph 1, in no event later than the last day of the calendar year in which such vesting occurred).</w:t>
      </w:r>
    </w:p>
    <w:p>
      <w:pPr>
        <w:spacing w:after="0" w:line="154" w:lineRule="exact"/>
        <w:rPr>
          <w:rFonts w:ascii="Arial" w:cs="Arial" w:eastAsia="Arial" w:hAnsi="Arial"/>
          <w:sz w:val="18"/>
          <w:szCs w:val="18"/>
          <w:color w:val="auto"/>
        </w:rPr>
      </w:pPr>
    </w:p>
    <w:p>
      <w:pPr>
        <w:ind w:firstLine="656"/>
        <w:spacing w:after="0" w:line="206" w:lineRule="auto"/>
        <w:tabs>
          <w:tab w:leader="none" w:pos="994"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Special Payment Provisions</w:t>
      </w:r>
      <w:r>
        <w:rPr>
          <w:rFonts w:ascii="Arial" w:cs="Arial" w:eastAsia="Arial" w:hAnsi="Arial"/>
          <w:sz w:val="20"/>
          <w:szCs w:val="20"/>
          <w:color w:val="auto"/>
        </w:rPr>
        <w:t>. Notwithstanding anything to the contrary in the Agreement, if the Deferred Stock Units are considered nonqualified deferred compensation subject to Section 409A of the Code and are settled on or on a date that is by reference to the Employee’s “separation from service” and the Employee is a “specified employee” (each within the meaning of Section 409A of the Code and each determined by the Company it its sole discretion) on the date the Employee experiences a separation from service, then the Deferred Stock Units (or applicable portion thereof) shall be settled on the first business day of the seventh month following the Employee’s separation from service, or, if earlier, on the date of the Employee’s death, to the extent such delayed payment is required in order to avoid a prohibited distribution under Section 409A of the Code.</w:t>
      </w:r>
    </w:p>
    <w:p>
      <w:pPr>
        <w:spacing w:after="0" w:line="157" w:lineRule="exact"/>
        <w:rPr>
          <w:rFonts w:ascii="Arial" w:cs="Arial" w:eastAsia="Arial" w:hAnsi="Arial"/>
          <w:sz w:val="20"/>
          <w:szCs w:val="20"/>
          <w:color w:val="auto"/>
        </w:rPr>
      </w:pPr>
    </w:p>
    <w:p>
      <w:pPr>
        <w:ind w:left="760" w:hanging="347"/>
        <w:spacing w:after="0"/>
        <w:tabs>
          <w:tab w:leader="none" w:pos="76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175" w:lineRule="exact"/>
        <w:rPr>
          <w:sz w:val="20"/>
          <w:szCs w:val="20"/>
          <w:color w:val="auto"/>
        </w:rPr>
      </w:pPr>
    </w:p>
    <w:p>
      <w:pPr>
        <w:ind w:right="140" w:firstLine="656"/>
        <w:spacing w:after="0" w:line="229" w:lineRule="auto"/>
        <w:tabs>
          <w:tab w:leader="none" w:pos="1286"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Employee agrees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05" w:right="339" w:bottom="1440" w:gutter="0" w:footer="0" w:header="0"/>
        </w:sectPr>
      </w:pPr>
    </w:p>
    <w:bookmarkStart w:id="153" w:name="page154"/>
    <w:bookmarkEnd w:id="153"/>
    <w:p>
      <w:pPr>
        <w:ind w:right="60"/>
        <w:spacing w:after="0" w:line="229" w:lineRule="auto"/>
        <w:rPr>
          <w:sz w:val="20"/>
          <w:szCs w:val="20"/>
          <w:color w:val="auto"/>
        </w:rPr>
      </w:pPr>
      <w:r>
        <w:rPr>
          <w:rFonts w:ascii="Arial" w:cs="Arial" w:eastAsia="Arial" w:hAnsi="Arial"/>
          <w:sz w:val="20"/>
          <w:szCs w:val="20"/>
          <w:color w:val="auto"/>
        </w:rPr>
        <w:t>covenants as follows for a period of twelve (12) months following the date of the Employee’s termination of employment from the Mondelēz Group:</w:t>
      </w:r>
    </w:p>
    <w:p>
      <w:pPr>
        <w:spacing w:after="0" w:line="155" w:lineRule="exact"/>
        <w:rPr>
          <w:sz w:val="20"/>
          <w:szCs w:val="20"/>
          <w:color w:val="auto"/>
        </w:rPr>
      </w:pPr>
    </w:p>
    <w:p>
      <w:pPr>
        <w:ind w:left="1300" w:right="20" w:hanging="320"/>
        <w:spacing w:after="0" w:line="225"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Company’s chief human resources officer,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155" w:lineRule="exact"/>
        <w:rPr>
          <w:rFonts w:ascii="Arial" w:cs="Arial" w:eastAsia="Arial" w:hAnsi="Arial"/>
          <w:sz w:val="18"/>
          <w:szCs w:val="18"/>
          <w:color w:val="auto"/>
        </w:rPr>
      </w:pPr>
    </w:p>
    <w:p>
      <w:pPr>
        <w:ind w:left="1300" w:right="380" w:hanging="320"/>
        <w:spacing w:after="0" w:line="213" w:lineRule="auto"/>
        <w:tabs>
          <w:tab w:leader="none" w:pos="13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Employee,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55" w:lineRule="exact"/>
        <w:rPr>
          <w:rFonts w:ascii="Arial" w:cs="Arial" w:eastAsia="Arial" w:hAnsi="Arial"/>
          <w:sz w:val="20"/>
          <w:szCs w:val="20"/>
          <w:color w:val="auto"/>
        </w:rPr>
      </w:pPr>
    </w:p>
    <w:p>
      <w:pPr>
        <w:ind w:left="1300" w:right="20" w:hanging="320"/>
        <w:spacing w:after="0" w:line="221" w:lineRule="auto"/>
        <w:tabs>
          <w:tab w:leader="none" w:pos="1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55" w:lineRule="exact"/>
        <w:rPr>
          <w:sz w:val="20"/>
          <w:szCs w:val="20"/>
          <w:color w:val="auto"/>
        </w:rPr>
      </w:pPr>
    </w:p>
    <w:p>
      <w:pPr>
        <w:ind w:right="60"/>
        <w:spacing w:after="0" w:line="215" w:lineRule="auto"/>
        <w:rPr>
          <w:sz w:val="20"/>
          <w:szCs w:val="20"/>
          <w:color w:val="auto"/>
        </w:rPr>
      </w:pPr>
      <w:r>
        <w:rPr>
          <w:rFonts w:ascii="Arial" w:cs="Arial" w:eastAsia="Arial" w:hAnsi="Arial"/>
          <w:sz w:val="19"/>
          <w:szCs w:val="19"/>
          <w:color w:val="auto"/>
        </w:rPr>
        <w:t>The provisions contained herein in paragraph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55" w:lineRule="exact"/>
        <w:rPr>
          <w:sz w:val="20"/>
          <w:szCs w:val="20"/>
          <w:color w:val="auto"/>
        </w:rPr>
      </w:pPr>
    </w:p>
    <w:p>
      <w:pPr>
        <w:ind w:firstLine="656"/>
        <w:spacing w:after="0" w:line="236" w:lineRule="auto"/>
        <w:tabs>
          <w:tab w:leader="none" w:pos="128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w:t>
      </w:r>
    </w:p>
    <w:p>
      <w:pPr>
        <w:spacing w:after="0" w:line="157" w:lineRule="exact"/>
        <w:rPr>
          <w:rFonts w:ascii="Arial" w:cs="Arial" w:eastAsia="Arial" w:hAnsi="Arial"/>
          <w:sz w:val="18"/>
          <w:szCs w:val="18"/>
          <w:color w:val="auto"/>
        </w:rPr>
      </w:pPr>
    </w:p>
    <w:p>
      <w:pPr>
        <w:ind w:left="1300" w:hanging="320"/>
        <w:spacing w:after="0"/>
        <w:tabs>
          <w:tab w:leader="none" w:pos="1300" w:val="left"/>
        </w:tabs>
        <w:numPr>
          <w:ilvl w:val="1"/>
          <w:numId w:val="90"/>
        </w:numPr>
        <w:rPr>
          <w:rFonts w:ascii="Arial" w:cs="Arial" w:eastAsia="Arial" w:hAnsi="Arial"/>
          <w:sz w:val="20"/>
          <w:szCs w:val="20"/>
          <w:color w:val="auto"/>
        </w:rPr>
      </w:pPr>
      <w:r>
        <w:rPr>
          <w:rFonts w:ascii="Arial" w:cs="Arial" w:eastAsia="Arial" w:hAnsi="Arial"/>
          <w:sz w:val="20"/>
          <w:szCs w:val="20"/>
          <w:color w:val="auto"/>
        </w:rPr>
        <w:t>all unvested Grants (including any unvested Deferred Stock Units) shall be immediately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05" w:right="339" w:bottom="1440" w:gutter="0" w:footer="0" w:header="0"/>
        </w:sectPr>
      </w:pPr>
    </w:p>
    <w:bookmarkStart w:id="154" w:name="page155"/>
    <w:bookmarkEnd w:id="154"/>
    <w:p>
      <w:pPr>
        <w:jc w:val="both"/>
        <w:ind w:left="1120" w:right="100" w:hanging="320"/>
        <w:spacing w:after="0" w:line="218" w:lineRule="auto"/>
        <w:tabs>
          <w:tab w:leader="none" w:pos="1120"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spacing w:after="0" w:line="156" w:lineRule="exact"/>
        <w:rPr>
          <w:rFonts w:ascii="Arial" w:cs="Arial" w:eastAsia="Arial" w:hAnsi="Arial"/>
          <w:sz w:val="20"/>
          <w:szCs w:val="20"/>
          <w:color w:val="auto"/>
        </w:rPr>
      </w:pPr>
    </w:p>
    <w:p>
      <w:pPr>
        <w:ind w:left="1120" w:right="60" w:hanging="320"/>
        <w:spacing w:after="0" w:line="228" w:lineRule="auto"/>
        <w:tabs>
          <w:tab w:leader="none" w:pos="11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154" w:lineRule="exact"/>
        <w:rPr>
          <w:rFonts w:ascii="Arial" w:cs="Arial" w:eastAsia="Arial" w:hAnsi="Arial"/>
          <w:sz w:val="18"/>
          <w:szCs w:val="18"/>
          <w:color w:val="auto"/>
        </w:rPr>
      </w:pPr>
    </w:p>
    <w:p>
      <w:pPr>
        <w:ind w:left="1120" w:right="40" w:hanging="320"/>
        <w:spacing w:after="0" w:line="218" w:lineRule="auto"/>
        <w:tabs>
          <w:tab w:leader="none" w:pos="1120"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159" w:lineRule="exact"/>
        <w:rPr>
          <w:rFonts w:ascii="Arial" w:cs="Arial" w:eastAsia="Arial" w:hAnsi="Arial"/>
          <w:sz w:val="19"/>
          <w:szCs w:val="19"/>
          <w:color w:val="auto"/>
        </w:rPr>
      </w:pPr>
    </w:p>
    <w:p>
      <w:pPr>
        <w:ind w:left="-180" w:firstLine="656"/>
        <w:spacing w:after="0" w:line="224" w:lineRule="auto"/>
        <w:tabs>
          <w:tab w:leader="none" w:pos="1106" w:val="left"/>
        </w:tabs>
        <w:numPr>
          <w:ilvl w:val="0"/>
          <w:numId w:val="92"/>
        </w:numPr>
        <w:rPr>
          <w:rFonts w:ascii="Arial" w:cs="Arial" w:eastAsia="Arial" w:hAnsi="Arial"/>
          <w:sz w:val="19"/>
          <w:szCs w:val="19"/>
          <w:color w:val="auto"/>
        </w:rPr>
      </w:pPr>
      <w:r>
        <w:rPr>
          <w:rFonts w:ascii="Arial" w:cs="Arial" w:eastAsia="Arial" w:hAnsi="Arial"/>
          <w:sz w:val="19"/>
          <w:szCs w:val="19"/>
          <w:color w:val="auto"/>
        </w:rPr>
        <w:t>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156" w:lineRule="exact"/>
        <w:rPr>
          <w:rFonts w:ascii="Arial" w:cs="Arial" w:eastAsia="Arial" w:hAnsi="Arial"/>
          <w:sz w:val="19"/>
          <w:szCs w:val="19"/>
          <w:color w:val="auto"/>
        </w:rPr>
      </w:pPr>
    </w:p>
    <w:p>
      <w:pPr>
        <w:ind w:left="-180" w:right="100" w:firstLine="656"/>
        <w:spacing w:after="0" w:line="227" w:lineRule="auto"/>
        <w:tabs>
          <w:tab w:leader="none" w:pos="11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spacing w:after="0" w:line="155" w:lineRule="exact"/>
        <w:rPr>
          <w:rFonts w:ascii="Arial" w:cs="Arial" w:eastAsia="Arial" w:hAnsi="Arial"/>
          <w:sz w:val="18"/>
          <w:szCs w:val="18"/>
          <w:color w:val="auto"/>
        </w:rPr>
      </w:pPr>
    </w:p>
    <w:p>
      <w:pPr>
        <w:ind w:left="-180" w:right="60" w:firstLine="656"/>
        <w:spacing w:after="0" w:line="215" w:lineRule="auto"/>
        <w:tabs>
          <w:tab w:leader="none" w:pos="110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The Employee is hereby advised in writing to consult with an attorney before entering into the covenants outlined in this Section 9. The Employee acknowledges that prior to acceptance of this Agreement, the Employee has been advised by the Company of the Employee's right to seek independent advice from an attorney of the Employee's own selection regarding this Agreement, including the restraints imposed upon him or her pursuant to this Section 9. The Employee acknowledges that they have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Company's directors, officers, employees or agents which are not expressly set forth herein, and that the Employee is relying only upon their own judgment and any advice provided by the Employee's attorney. The Employee acknowledges he or she has been provided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60"/>
          </w:cols>
          <w:pgMar w:left="500" w:top="1405" w:right="339" w:bottom="1440" w:gutter="0" w:footer="0" w:header="0"/>
        </w:sectPr>
      </w:pPr>
    </w:p>
    <w:bookmarkStart w:id="155" w:name="page156"/>
    <w:bookmarkEnd w:id="155"/>
    <w:p>
      <w:pPr>
        <w:ind w:right="120"/>
        <w:spacing w:after="0" w:line="229" w:lineRule="auto"/>
        <w:rPr>
          <w:sz w:val="20"/>
          <w:szCs w:val="20"/>
          <w:color w:val="auto"/>
        </w:rPr>
      </w:pPr>
      <w:r>
        <w:rPr>
          <w:rFonts w:ascii="Arial" w:cs="Arial" w:eastAsia="Arial" w:hAnsi="Arial"/>
          <w:sz w:val="20"/>
          <w:szCs w:val="20"/>
          <w:color w:val="auto"/>
        </w:rPr>
        <w:t>minimum 14 calendar days to review the provisions contained herein but may voluntarily waive this period and sign prior to the 14 calendar day period lapsing.</w:t>
      </w:r>
    </w:p>
    <w:p>
      <w:pPr>
        <w:spacing w:after="0" w:line="155" w:lineRule="exact"/>
        <w:rPr>
          <w:sz w:val="20"/>
          <w:szCs w:val="20"/>
          <w:color w:val="auto"/>
        </w:rPr>
      </w:pPr>
    </w:p>
    <w:p>
      <w:pPr>
        <w:ind w:right="160" w:firstLine="656"/>
        <w:spacing w:after="0" w:line="218" w:lineRule="auto"/>
        <w:tabs>
          <w:tab w:leader="none" w:pos="1291" w:val="left"/>
        </w:tabs>
        <w:numPr>
          <w:ilvl w:val="0"/>
          <w:numId w:val="93"/>
        </w:numPr>
        <w:rPr>
          <w:rFonts w:ascii="Arial" w:cs="Arial" w:eastAsia="Arial" w:hAnsi="Arial"/>
          <w:sz w:val="20"/>
          <w:szCs w:val="20"/>
          <w:color w:val="auto"/>
        </w:rPr>
      </w:pPr>
      <w:r>
        <w:rPr>
          <w:rFonts w:ascii="Arial" w:cs="Arial" w:eastAsia="Arial" w:hAnsi="Arial"/>
          <w:sz w:val="20"/>
          <w:szCs w:val="20"/>
          <w:color w:val="auto"/>
        </w:rPr>
        <w:t>For purposes of this Section 9, the Company and any member of the Mondelēz Group shall be deemed to be third-party beneficiaries with the right to seek enforcement of any of the provisions of this Section 9. Further, for purposes of this Section 9, references to acting directly or indirectly include acting jointly with or through another person.</w:t>
      </w:r>
    </w:p>
    <w:p>
      <w:pPr>
        <w:spacing w:after="0" w:line="156" w:lineRule="exact"/>
        <w:rPr>
          <w:sz w:val="20"/>
          <w:szCs w:val="20"/>
          <w:color w:val="auto"/>
        </w:rPr>
      </w:pPr>
    </w:p>
    <w:p>
      <w:pPr>
        <w:ind w:firstLine="656"/>
        <w:spacing w:after="0" w:line="228" w:lineRule="auto"/>
        <w:tabs>
          <w:tab w:leader="none" w:pos="109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Clawback Policy/ Forfeiture</w:t>
      </w:r>
      <w:r>
        <w:rPr>
          <w:rFonts w:ascii="Arial" w:cs="Arial" w:eastAsia="Arial" w:hAnsi="Arial"/>
          <w:sz w:val="18"/>
          <w:szCs w:val="18"/>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54" w:lineRule="exact"/>
        <w:rPr>
          <w:rFonts w:ascii="Arial" w:cs="Arial" w:eastAsia="Arial" w:hAnsi="Arial"/>
          <w:sz w:val="18"/>
          <w:szCs w:val="18"/>
          <w:color w:val="auto"/>
        </w:rPr>
      </w:pPr>
    </w:p>
    <w:p>
      <w:pPr>
        <w:ind w:right="180" w:firstLine="656"/>
        <w:spacing w:after="0" w:line="333" w:lineRule="auto"/>
        <w:tabs>
          <w:tab w:leader="none" w:pos="1086"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Original Issue or Transfer Taxes</w:t>
      </w:r>
      <w:r>
        <w:rPr>
          <w:rFonts w:ascii="Arial" w:cs="Arial" w:eastAsia="Arial" w:hAnsi="Arial"/>
          <w:sz w:val="16"/>
          <w:szCs w:val="16"/>
          <w:color w:val="auto"/>
        </w:rPr>
        <w:t>. The Company shall pay all original issue or transfer taxes and all fees and expenses incident to the delivery of the shares of Common Stock underlying the vested Deferred Stock Units, except as otherwise provided in paragraph 5.</w:t>
      </w:r>
    </w:p>
    <w:p>
      <w:pPr>
        <w:spacing w:after="0" w:line="83" w:lineRule="exact"/>
        <w:rPr>
          <w:rFonts w:ascii="Arial" w:cs="Arial" w:eastAsia="Arial" w:hAnsi="Arial"/>
          <w:sz w:val="16"/>
          <w:szCs w:val="16"/>
          <w:color w:val="auto"/>
        </w:rPr>
      </w:pPr>
    </w:p>
    <w:p>
      <w:pPr>
        <w:ind w:right="20" w:firstLine="656"/>
        <w:spacing w:after="0" w:line="210" w:lineRule="auto"/>
        <w:tabs>
          <w:tab w:leader="none" w:pos="1093"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Grant Confers No Rights to Continued Employment</w:t>
      </w:r>
      <w:r>
        <w:rPr>
          <w:rFonts w:ascii="Arial" w:cs="Arial" w:eastAsia="Arial" w:hAnsi="Arial"/>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54" w:lineRule="exact"/>
        <w:rPr>
          <w:rFonts w:ascii="Arial" w:cs="Arial" w:eastAsia="Arial" w:hAnsi="Arial"/>
          <w:sz w:val="20"/>
          <w:szCs w:val="20"/>
          <w:color w:val="auto"/>
        </w:rPr>
      </w:pPr>
    </w:p>
    <w:p>
      <w:pPr>
        <w:ind w:left="1100" w:hanging="444"/>
        <w:spacing w:after="0"/>
        <w:tabs>
          <w:tab w:leader="none" w:pos="110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Nature of the Grant</w:t>
      </w:r>
      <w:r>
        <w:rPr>
          <w:rFonts w:ascii="Arial" w:cs="Arial" w:eastAsia="Arial" w:hAnsi="Arial"/>
          <w:sz w:val="19"/>
          <w:szCs w:val="19"/>
          <w:color w:val="auto"/>
        </w:rPr>
        <w:t>. In accepting the Deferred Stock Units, the Employee acknowledges, understands, and agrees that:</w:t>
      </w:r>
    </w:p>
    <w:p>
      <w:pPr>
        <w:spacing w:after="0" w:line="186" w:lineRule="exact"/>
        <w:rPr>
          <w:rFonts w:ascii="Arial" w:cs="Arial" w:eastAsia="Arial" w:hAnsi="Arial"/>
          <w:sz w:val="19"/>
          <w:szCs w:val="19"/>
          <w:color w:val="auto"/>
        </w:rPr>
      </w:pPr>
    </w:p>
    <w:p>
      <w:pPr>
        <w:ind w:right="300" w:firstLine="1304"/>
        <w:spacing w:after="0" w:line="229" w:lineRule="auto"/>
        <w:tabs>
          <w:tab w:leader="none" w:pos="1934"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55" w:lineRule="exact"/>
        <w:rPr>
          <w:rFonts w:ascii="Arial" w:cs="Arial" w:eastAsia="Arial" w:hAnsi="Arial"/>
          <w:sz w:val="20"/>
          <w:szCs w:val="20"/>
          <w:color w:val="auto"/>
        </w:rPr>
      </w:pPr>
    </w:p>
    <w:p>
      <w:pPr>
        <w:ind w:right="40" w:firstLine="1304"/>
        <w:spacing w:after="0" w:line="229" w:lineRule="auto"/>
        <w:tabs>
          <w:tab w:leader="none" w:pos="1932"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Grant is exceptional, voluntary and occasional and does not create any contractual or other right to receive future Grants, or benefits in lieu of Deferred Stock Units, even if Deferred Stock Units have been granted in the past;</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all decisions with respect to future Grants, if any, will be at the sole discretion of the Committee;</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Employee’s participation in the Plan is voluntary;</w:t>
      </w:r>
    </w:p>
    <w:p>
      <w:pPr>
        <w:spacing w:after="0" w:line="175" w:lineRule="exact"/>
        <w:rPr>
          <w:rFonts w:ascii="Arial" w:cs="Arial" w:eastAsia="Arial" w:hAnsi="Arial"/>
          <w:sz w:val="20"/>
          <w:szCs w:val="20"/>
          <w:color w:val="auto"/>
        </w:rPr>
      </w:pPr>
    </w:p>
    <w:p>
      <w:pPr>
        <w:ind w:right="160" w:firstLine="1304"/>
        <w:spacing w:after="0" w:line="229" w:lineRule="auto"/>
        <w:tabs>
          <w:tab w:leader="none" w:pos="1934"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Deferred Stock Units and the shares of Common Stock subject to the Deferred Stock Units, and the income and value of same, are not intended to replace any pension rights or compensation;</w:t>
      </w:r>
    </w:p>
    <w:p>
      <w:pPr>
        <w:spacing w:after="0" w:line="155" w:lineRule="exact"/>
        <w:rPr>
          <w:rFonts w:ascii="Arial" w:cs="Arial" w:eastAsia="Arial" w:hAnsi="Arial"/>
          <w:sz w:val="20"/>
          <w:szCs w:val="20"/>
          <w:color w:val="auto"/>
        </w:rPr>
      </w:pPr>
    </w:p>
    <w:p>
      <w:pPr>
        <w:ind w:right="180" w:firstLine="1304"/>
        <w:spacing w:after="0" w:line="213" w:lineRule="auto"/>
        <w:tabs>
          <w:tab w:leader="none" w:pos="1939" w:val="left"/>
        </w:tabs>
        <w:numPr>
          <w:ilvl w:val="1"/>
          <w:numId w:val="94"/>
        </w:numPr>
        <w:rPr>
          <w:rFonts w:ascii="Arial" w:cs="Arial" w:eastAsia="Arial" w:hAnsi="Arial"/>
          <w:sz w:val="20"/>
          <w:szCs w:val="20"/>
          <w:color w:val="auto"/>
        </w:rPr>
      </w:pPr>
      <w:r>
        <w:rPr>
          <w:rFonts w:ascii="Arial" w:cs="Arial" w:eastAsia="Arial" w:hAnsi="Arial"/>
          <w:sz w:val="20"/>
          <w:szCs w:val="20"/>
          <w:color w:val="auto"/>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20"/>
          </w:cols>
          <w:pgMar w:left="320" w:top="1405" w:right="359" w:bottom="1440" w:gutter="0" w:footer="0" w:header="0"/>
        </w:sectPr>
      </w:pPr>
    </w:p>
    <w:bookmarkStart w:id="156" w:name="page157"/>
    <w:bookmarkEnd w:id="156"/>
    <w:p>
      <w:pPr>
        <w:ind w:left="1940" w:hanging="636"/>
        <w:spacing w:after="0"/>
        <w:tabs>
          <w:tab w:leader="none" w:pos="19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198" w:lineRule="exact"/>
        <w:rPr>
          <w:rFonts w:ascii="Arial" w:cs="Arial" w:eastAsia="Arial" w:hAnsi="Arial"/>
          <w:sz w:val="18"/>
          <w:szCs w:val="18"/>
          <w:color w:val="auto"/>
        </w:rPr>
      </w:pPr>
    </w:p>
    <w:p>
      <w:pPr>
        <w:ind w:right="260" w:firstLine="1304"/>
        <w:spacing w:after="0" w:line="218" w:lineRule="auto"/>
        <w:tabs>
          <w:tab w:leader="none" w:pos="1932" w:val="left"/>
        </w:tabs>
        <w:numPr>
          <w:ilvl w:val="1"/>
          <w:numId w:val="95"/>
        </w:numPr>
        <w:rPr>
          <w:rFonts w:ascii="Arial" w:cs="Arial" w:eastAsia="Arial" w:hAnsi="Arial"/>
          <w:sz w:val="20"/>
          <w:szCs w:val="20"/>
          <w:color w:val="auto"/>
        </w:rPr>
      </w:pPr>
      <w:r>
        <w:rPr>
          <w:rFonts w:ascii="Arial" w:cs="Arial" w:eastAsia="Arial" w:hAnsi="Arial"/>
          <w:sz w:val="20"/>
          <w:szCs w:val="20"/>
          <w:color w:val="auto"/>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spacing w:after="0" w:line="156" w:lineRule="exact"/>
        <w:rPr>
          <w:rFonts w:ascii="Arial" w:cs="Arial" w:eastAsia="Arial" w:hAnsi="Arial"/>
          <w:sz w:val="20"/>
          <w:szCs w:val="20"/>
          <w:color w:val="auto"/>
        </w:rPr>
      </w:pPr>
    </w:p>
    <w:p>
      <w:pPr>
        <w:jc w:val="both"/>
        <w:ind w:right="40" w:firstLine="1304"/>
        <w:spacing w:after="0" w:line="224" w:lineRule="auto"/>
        <w:tabs>
          <w:tab w:leader="none" w:pos="1942"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156" w:lineRule="exact"/>
        <w:rPr>
          <w:rFonts w:ascii="Arial" w:cs="Arial" w:eastAsia="Arial" w:hAnsi="Arial"/>
          <w:sz w:val="19"/>
          <w:szCs w:val="19"/>
          <w:color w:val="auto"/>
        </w:rPr>
      </w:pPr>
    </w:p>
    <w:p>
      <w:pPr>
        <w:ind w:right="80" w:firstLine="1304"/>
        <w:spacing w:after="0" w:line="213" w:lineRule="auto"/>
        <w:tabs>
          <w:tab w:leader="none" w:pos="1942" w:val="left"/>
        </w:tabs>
        <w:numPr>
          <w:ilvl w:val="1"/>
          <w:numId w:val="95"/>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w:t>
      </w:r>
    </w:p>
    <w:p>
      <w:pPr>
        <w:spacing w:after="0" w:line="155" w:lineRule="exact"/>
        <w:rPr>
          <w:rFonts w:ascii="Arial" w:cs="Arial" w:eastAsia="Arial" w:hAnsi="Arial"/>
          <w:sz w:val="20"/>
          <w:szCs w:val="20"/>
          <w:color w:val="auto"/>
        </w:rPr>
      </w:pPr>
    </w:p>
    <w:p>
      <w:pPr>
        <w:ind w:right="180" w:firstLine="1304"/>
        <w:spacing w:after="0" w:line="229" w:lineRule="auto"/>
        <w:tabs>
          <w:tab w:leader="none" w:pos="1932"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Deferred Stock Units and the shares of Common Stock subject to the Deferred Stock Units, and the income and value of same, are not part of normal or expected compensation or salary for any purpose;</w:t>
      </w:r>
    </w:p>
    <w:p>
      <w:pPr>
        <w:spacing w:after="0" w:line="155" w:lineRule="exact"/>
        <w:rPr>
          <w:rFonts w:ascii="Arial" w:cs="Arial" w:eastAsia="Arial" w:hAnsi="Arial"/>
          <w:sz w:val="20"/>
          <w:szCs w:val="20"/>
          <w:color w:val="auto"/>
        </w:rPr>
      </w:pPr>
    </w:p>
    <w:p>
      <w:pPr>
        <w:ind w:right="40" w:firstLine="1304"/>
        <w:spacing w:after="0" w:line="213" w:lineRule="auto"/>
        <w:tabs>
          <w:tab w:leader="none" w:pos="1942" w:val="left"/>
        </w:tabs>
        <w:numPr>
          <w:ilvl w:val="1"/>
          <w:numId w:val="95"/>
        </w:numPr>
        <w:rPr>
          <w:rFonts w:ascii="Arial" w:cs="Arial" w:eastAsia="Arial" w:hAnsi="Arial"/>
          <w:sz w:val="20"/>
          <w:szCs w:val="20"/>
          <w:color w:val="auto"/>
        </w:rPr>
      </w:pPr>
      <w:r>
        <w:rPr>
          <w:rFonts w:ascii="Arial" w:cs="Arial" w:eastAsia="Arial" w:hAnsi="Arial"/>
          <w:sz w:val="20"/>
          <w:szCs w:val="20"/>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155" w:lineRule="exact"/>
        <w:rPr>
          <w:rFonts w:ascii="Arial" w:cs="Arial" w:eastAsia="Arial" w:hAnsi="Arial"/>
          <w:sz w:val="20"/>
          <w:szCs w:val="20"/>
          <w:color w:val="auto"/>
        </w:rPr>
      </w:pPr>
    </w:p>
    <w:p>
      <w:pPr>
        <w:ind w:right="100" w:firstLine="1304"/>
        <w:spacing w:after="0" w:line="213" w:lineRule="auto"/>
        <w:tabs>
          <w:tab w:leader="none" w:pos="1933" w:val="left"/>
        </w:tabs>
        <w:numPr>
          <w:ilvl w:val="1"/>
          <w:numId w:val="95"/>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Deferred Stock Units resulting from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w:t>
      </w:r>
    </w:p>
    <w:p>
      <w:pPr>
        <w:spacing w:after="0" w:line="155" w:lineRule="exact"/>
        <w:rPr>
          <w:rFonts w:ascii="Arial" w:cs="Arial" w:eastAsia="Arial" w:hAnsi="Arial"/>
          <w:sz w:val="20"/>
          <w:szCs w:val="20"/>
          <w:color w:val="auto"/>
        </w:rPr>
      </w:pPr>
    </w:p>
    <w:p>
      <w:pPr>
        <w:ind w:right="120" w:firstLine="656"/>
        <w:spacing w:after="0" w:line="289" w:lineRule="auto"/>
        <w:tabs>
          <w:tab w:leader="none" w:pos="1093"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Employee hereby explicitly and unambiguously consents to the collection, use and transfer, in electronic or other form, of his or her personal data as described in this Agreement and any other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Employee’s participation in the Plan.</w:t>
      </w:r>
    </w:p>
    <w:p>
      <w:pPr>
        <w:spacing w:after="0" w:line="118"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b w:val="1"/>
          <w:bCs w:val="1"/>
          <w:i w:val="1"/>
          <w:iCs w:val="1"/>
          <w:color w:val="auto"/>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spacing w:after="0" w:line="155" w:lineRule="exact"/>
        <w:rPr>
          <w:sz w:val="20"/>
          <w:szCs w:val="20"/>
          <w:color w:val="auto"/>
        </w:rPr>
      </w:pPr>
    </w:p>
    <w:p>
      <w:pPr>
        <w:ind w:firstLine="648"/>
        <w:spacing w:after="0" w:line="206" w:lineRule="auto"/>
        <w:rPr>
          <w:sz w:val="20"/>
          <w:szCs w:val="20"/>
          <w:color w:val="auto"/>
        </w:rPr>
      </w:pPr>
      <w:r>
        <w:rPr>
          <w:rFonts w:ascii="Arial" w:cs="Arial" w:eastAsia="Arial" w:hAnsi="Arial"/>
          <w:sz w:val="20"/>
          <w:szCs w:val="20"/>
          <w:b w:val="1"/>
          <w:bCs w:val="1"/>
          <w:i w:val="1"/>
          <w:iCs w:val="1"/>
          <w:color w:val="auto"/>
        </w:rPr>
        <w:t>The Employee understands that Data will be transferred to UBS Financial Services, Inc. (“</w:t>
      </w:r>
      <w:r>
        <w:rPr>
          <w:rFonts w:ascii="Arial" w:cs="Arial" w:eastAsia="Arial" w:hAnsi="Arial"/>
          <w:sz w:val="20"/>
          <w:szCs w:val="20"/>
          <w:b w:val="1"/>
          <w:bCs w:val="1"/>
          <w:i w:val="1"/>
          <w:iCs w:val="1"/>
          <w:u w:val="single" w:color="auto"/>
          <w:color w:val="auto"/>
        </w:rPr>
        <w:t>UBS</w:t>
      </w:r>
      <w:r>
        <w:rPr>
          <w:rFonts w:ascii="Arial" w:cs="Arial" w:eastAsia="Arial" w:hAnsi="Arial"/>
          <w:sz w:val="20"/>
          <w:szCs w:val="20"/>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05" w:right="339" w:bottom="1440" w:gutter="0" w:footer="0" w:header="0"/>
        </w:sectPr>
      </w:pPr>
    </w:p>
    <w:bookmarkStart w:id="157" w:name="page158"/>
    <w:bookmarkEnd w:id="157"/>
    <w:p>
      <w:pPr>
        <w:spacing w:after="0" w:line="251" w:lineRule="auto"/>
        <w:rPr>
          <w:sz w:val="20"/>
          <w:szCs w:val="20"/>
          <w:color w:val="auto"/>
        </w:rPr>
      </w:pPr>
      <w:r>
        <w:rPr>
          <w:rFonts w:ascii="Arial" w:cs="Arial" w:eastAsia="Arial" w:hAnsi="Arial"/>
          <w:sz w:val="16"/>
          <w:szCs w:val="16"/>
          <w:b w:val="1"/>
          <w:bCs w:val="1"/>
          <w:i w:val="1"/>
          <w:iCs w:val="1"/>
          <w:color w:val="auto"/>
        </w:rPr>
        <w:t>Employee resides outside the United States, the Employee understands that he or she may request a list with the names and addresses of any potential recipients of the Data by contacting the Employee’s local human resources representative. The Employee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 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Arial" w:cs="Arial" w:eastAsia="Arial" w:hAnsi="Arial"/>
          <w:sz w:val="16"/>
          <w:szCs w:val="16"/>
          <w:color w:val="auto"/>
        </w:rPr>
        <w:t>.</w:t>
      </w:r>
    </w:p>
    <w:p>
      <w:pPr>
        <w:spacing w:after="0" w:line="347" w:lineRule="exact"/>
        <w:rPr>
          <w:sz w:val="20"/>
          <w:szCs w:val="20"/>
          <w:color w:val="auto"/>
        </w:rPr>
      </w:pPr>
    </w:p>
    <w:p>
      <w:pPr>
        <w:ind w:right="40" w:firstLine="648"/>
        <w:spacing w:after="0" w:line="233" w:lineRule="auto"/>
        <w:rPr>
          <w:sz w:val="20"/>
          <w:szCs w:val="20"/>
          <w:color w:val="auto"/>
        </w:rPr>
      </w:pPr>
      <w:r>
        <w:rPr>
          <w:rFonts w:ascii="Arial" w:cs="Arial" w:eastAsia="Arial" w:hAnsi="Arial"/>
          <w:sz w:val="18"/>
          <w:szCs w:val="18"/>
          <w:b w:val="1"/>
          <w:bCs w:val="1"/>
          <w:i w:val="1"/>
          <w:iCs w:val="1"/>
          <w:color w:val="auto"/>
        </w:rPr>
        <w:t>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w:t>
      </w:r>
    </w:p>
    <w:p>
      <w:pPr>
        <w:spacing w:after="0" w:line="156" w:lineRule="exact"/>
        <w:rPr>
          <w:sz w:val="20"/>
          <w:szCs w:val="20"/>
          <w:color w:val="auto"/>
        </w:rPr>
      </w:pPr>
    </w:p>
    <w:p>
      <w:pPr>
        <w:ind w:firstLine="656"/>
        <w:spacing w:after="0" w:line="229" w:lineRule="auto"/>
        <w:tabs>
          <w:tab w:leader="none" w:pos="109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spacing w:after="0" w:line="156" w:lineRule="exact"/>
        <w:rPr>
          <w:rFonts w:ascii="Arial" w:cs="Arial" w:eastAsia="Arial" w:hAnsi="Arial"/>
          <w:sz w:val="18"/>
          <w:szCs w:val="18"/>
          <w:color w:val="auto"/>
        </w:rPr>
      </w:pPr>
    </w:p>
    <w:p>
      <w:pPr>
        <w:jc w:val="both"/>
        <w:ind w:right="100" w:firstLine="656"/>
        <w:spacing w:after="0" w:line="213" w:lineRule="auto"/>
        <w:tabs>
          <w:tab w:leader="none" w:pos="1093"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155" w:lineRule="exact"/>
        <w:rPr>
          <w:rFonts w:ascii="Arial" w:cs="Arial" w:eastAsia="Arial" w:hAnsi="Arial"/>
          <w:sz w:val="20"/>
          <w:szCs w:val="20"/>
          <w:color w:val="auto"/>
        </w:rPr>
      </w:pPr>
    </w:p>
    <w:p>
      <w:pPr>
        <w:ind w:right="240" w:firstLine="656"/>
        <w:spacing w:after="0" w:line="236" w:lineRule="auto"/>
        <w:tabs>
          <w:tab w:leader="none" w:pos="1093"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00"/>
          </w:cols>
          <w:pgMar w:left="320" w:top="1405" w:right="379" w:bottom="1440" w:gutter="0" w:footer="0" w:header="0"/>
        </w:sectPr>
      </w:pPr>
    </w:p>
    <w:bookmarkStart w:id="158" w:name="page159"/>
    <w:bookmarkEnd w:id="158"/>
    <w:p>
      <w:pPr>
        <w:ind w:right="320" w:firstLine="656"/>
        <w:spacing w:after="0" w:line="206" w:lineRule="auto"/>
        <w:tabs>
          <w:tab w:leader="none" w:pos="1093"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w:t>
      </w:r>
    </w:p>
    <w:p>
      <w:pPr>
        <w:spacing w:after="0" w:line="157" w:lineRule="exact"/>
        <w:rPr>
          <w:rFonts w:ascii="Arial" w:cs="Arial" w:eastAsia="Arial" w:hAnsi="Arial"/>
          <w:sz w:val="20"/>
          <w:szCs w:val="20"/>
          <w:color w:val="auto"/>
        </w:rPr>
      </w:pPr>
    </w:p>
    <w:p>
      <w:pPr>
        <w:jc w:val="both"/>
        <w:ind w:right="220" w:firstLine="656"/>
        <w:spacing w:after="0" w:line="244" w:lineRule="auto"/>
        <w:tabs>
          <w:tab w:leader="none" w:pos="10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51" w:lineRule="exact"/>
        <w:rPr>
          <w:rFonts w:ascii="Arial" w:cs="Arial" w:eastAsia="Arial" w:hAnsi="Arial"/>
          <w:sz w:val="18"/>
          <w:szCs w:val="18"/>
          <w:color w:val="auto"/>
        </w:rPr>
      </w:pPr>
    </w:p>
    <w:p>
      <w:pPr>
        <w:ind w:firstLine="656"/>
        <w:spacing w:after="0" w:line="222" w:lineRule="auto"/>
        <w:tabs>
          <w:tab w:leader="none" w:pos="10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is intended to be exempt from, or otherwise comply with, Section 409A of the Code and shall be interpreted, operated and administered in a manner consistent with such intent. The Company reserves the right, to amend or modify this Agreement at any time, without the consent of the Employee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Grant made hereunder, and Mondelēz Group shall not under any circumstances have any liability to any employee or his estate or any other party for any taxes, penalties or interest due on amounts paid or payable under this Agreement, including taxes, penalties or interest imposed under Section 409A of the Code. For purposes of Section 409A of the Code, each payment and each series of payments under this Agreement, if any, shall be treated as a separate payment.</w:t>
      </w:r>
    </w:p>
    <w:p>
      <w:pPr>
        <w:spacing w:after="0" w:line="166" w:lineRule="exact"/>
        <w:rPr>
          <w:rFonts w:ascii="Arial" w:cs="Arial" w:eastAsia="Arial" w:hAnsi="Arial"/>
          <w:sz w:val="18"/>
          <w:szCs w:val="18"/>
          <w:color w:val="auto"/>
        </w:rPr>
      </w:pPr>
    </w:p>
    <w:p>
      <w:pPr>
        <w:ind w:firstLine="656"/>
        <w:spacing w:after="0" w:line="205" w:lineRule="auto"/>
        <w:tabs>
          <w:tab w:leader="none" w:pos="1093"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spacing w:after="0" w:line="156" w:lineRule="exact"/>
        <w:rPr>
          <w:sz w:val="20"/>
          <w:szCs w:val="20"/>
          <w:color w:val="auto"/>
        </w:rPr>
      </w:pPr>
    </w:p>
    <w:p>
      <w:pPr>
        <w:ind w:right="20" w:firstLine="648"/>
        <w:spacing w:after="0" w:line="244" w:lineRule="auto"/>
        <w:rPr>
          <w:sz w:val="20"/>
          <w:szCs w:val="20"/>
          <w:color w:val="auto"/>
        </w:rPr>
      </w:pPr>
      <w:r>
        <w:rPr>
          <w:rFonts w:ascii="Arial" w:cs="Arial" w:eastAsia="Arial" w:hAnsi="Arial"/>
          <w:sz w:val="18"/>
          <w:szCs w:val="18"/>
          <w:color w:val="auto"/>
        </w:rPr>
        <w:t>For the purposes of this Agreement, (a) 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permanent and total disability as determined under the procedures established by the Company for purposes of the Plan, and (b) the term “</w:t>
      </w:r>
      <w:r>
        <w:rPr>
          <w:rFonts w:ascii="Arial" w:cs="Arial" w:eastAsia="Arial" w:hAnsi="Arial"/>
          <w:sz w:val="18"/>
          <w:szCs w:val="18"/>
          <w:u w:val="single" w:color="auto"/>
          <w:color w:val="auto"/>
        </w:rPr>
        <w:t>Retirement</w:t>
      </w:r>
      <w:r>
        <w:rPr>
          <w:rFonts w:ascii="Arial" w:cs="Arial" w:eastAsia="Arial" w:hAnsi="Arial"/>
          <w:sz w:val="18"/>
          <w:szCs w:val="18"/>
          <w:color w:val="auto"/>
        </w:rPr>
        <w:t>” means, unless otherwise determined by the Committee in its sole discretion, the termination of employment on or after either (i) the date the Employee is age 55 or older with at least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05" w:right="339" w:bottom="1440" w:gutter="0" w:footer="0" w:header="0"/>
        </w:sectPr>
      </w:pPr>
    </w:p>
    <w:bookmarkStart w:id="159" w:name="page160"/>
    <w:bookmarkEnd w:id="159"/>
    <w:p>
      <w:pPr>
        <w:ind w:right="240" w:firstLine="8"/>
        <w:spacing w:after="0" w:line="229" w:lineRule="auto"/>
        <w:tabs>
          <w:tab w:leader="none" w:pos="379" w:val="left"/>
        </w:tabs>
        <w:numPr>
          <w:ilvl w:val="0"/>
          <w:numId w:val="99"/>
        </w:numPr>
        <w:rPr>
          <w:rFonts w:ascii="Arial" w:cs="Arial" w:eastAsia="Arial" w:hAnsi="Arial"/>
          <w:sz w:val="20"/>
          <w:szCs w:val="20"/>
          <w:color w:val="auto"/>
        </w:rPr>
      </w:pPr>
      <w:r>
        <w:rPr>
          <w:rFonts w:ascii="Arial" w:cs="Arial" w:eastAsia="Arial" w:hAnsi="Arial"/>
          <w:sz w:val="20"/>
          <w:szCs w:val="20"/>
          <w:color w:val="auto"/>
        </w:rPr>
        <w:t>or more years of active continuous employment with the Mondelēz Group or (ii) the date the Employee is age 65 or older with at least five (5) or more years of active continuous employment with the Mondelēz Group.</w:t>
      </w:r>
    </w:p>
    <w:p>
      <w:pPr>
        <w:spacing w:after="0" w:line="155" w:lineRule="exact"/>
        <w:rPr>
          <w:sz w:val="20"/>
          <w:szCs w:val="20"/>
          <w:color w:val="auto"/>
        </w:rPr>
      </w:pPr>
    </w:p>
    <w:p>
      <w:pPr>
        <w:ind w:right="100" w:firstLine="648"/>
        <w:spacing w:after="0" w:line="210"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155" w:lineRule="exact"/>
        <w:rPr>
          <w:sz w:val="20"/>
          <w:szCs w:val="20"/>
          <w:color w:val="auto"/>
        </w:rPr>
      </w:pPr>
    </w:p>
    <w:p>
      <w:pPr>
        <w:ind w:right="100" w:firstLine="656"/>
        <w:spacing w:after="0" w:line="225" w:lineRule="auto"/>
        <w:tabs>
          <w:tab w:leader="none" w:pos="109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160" w:lineRule="exact"/>
        <w:rPr>
          <w:rFonts w:ascii="Arial" w:cs="Arial" w:eastAsia="Arial" w:hAnsi="Arial"/>
          <w:sz w:val="18"/>
          <w:szCs w:val="18"/>
          <w:color w:val="auto"/>
        </w:rPr>
      </w:pPr>
    </w:p>
    <w:p>
      <w:pPr>
        <w:jc w:val="both"/>
        <w:ind w:right="220" w:firstLine="656"/>
        <w:spacing w:after="0" w:line="218" w:lineRule="auto"/>
        <w:tabs>
          <w:tab w:leader="none" w:pos="1093"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56" w:lineRule="exact"/>
        <w:rPr>
          <w:rFonts w:ascii="Arial" w:cs="Arial" w:eastAsia="Arial" w:hAnsi="Arial"/>
          <w:sz w:val="20"/>
          <w:szCs w:val="20"/>
          <w:color w:val="auto"/>
        </w:rPr>
      </w:pPr>
    </w:p>
    <w:p>
      <w:pPr>
        <w:ind w:right="660" w:firstLine="656"/>
        <w:spacing w:after="0" w:line="229" w:lineRule="auto"/>
        <w:tabs>
          <w:tab w:leader="none" w:pos="1093"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155" w:lineRule="exact"/>
        <w:rPr>
          <w:rFonts w:ascii="Arial" w:cs="Arial" w:eastAsia="Arial" w:hAnsi="Arial"/>
          <w:sz w:val="20"/>
          <w:szCs w:val="20"/>
          <w:color w:val="auto"/>
        </w:rPr>
      </w:pPr>
    </w:p>
    <w:p>
      <w:pPr>
        <w:ind w:right="580" w:firstLine="656"/>
        <w:spacing w:after="0" w:line="224" w:lineRule="auto"/>
        <w:tabs>
          <w:tab w:leader="none" w:pos="1093"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56" w:lineRule="exact"/>
        <w:rPr>
          <w:rFonts w:ascii="Arial" w:cs="Arial" w:eastAsia="Arial" w:hAnsi="Arial"/>
          <w:sz w:val="19"/>
          <w:szCs w:val="19"/>
          <w:color w:val="auto"/>
        </w:rPr>
      </w:pPr>
    </w:p>
    <w:p>
      <w:pPr>
        <w:ind w:firstLine="656"/>
        <w:spacing w:after="0" w:line="225" w:lineRule="auto"/>
        <w:tabs>
          <w:tab w:leader="none" w:pos="109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Employee may be subject to insider trading and/or market abuse laws, which may affect the Employee’s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spacing w:after="0" w:line="160" w:lineRule="exact"/>
        <w:rPr>
          <w:rFonts w:ascii="Arial" w:cs="Arial" w:eastAsia="Arial" w:hAnsi="Arial"/>
          <w:sz w:val="18"/>
          <w:szCs w:val="18"/>
          <w:color w:val="auto"/>
        </w:rPr>
      </w:pPr>
    </w:p>
    <w:p>
      <w:pPr>
        <w:ind w:right="260" w:firstLine="656"/>
        <w:spacing w:after="0" w:line="229" w:lineRule="auto"/>
        <w:tabs>
          <w:tab w:leader="none" w:pos="1093"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Exchange Control, Tax and Foreign Asset/Account Reporting Requirements</w:t>
      </w:r>
      <w:r>
        <w:rPr>
          <w:rFonts w:ascii="Arial" w:cs="Arial" w:eastAsia="Arial" w:hAnsi="Arial"/>
          <w:sz w:val="20"/>
          <w:szCs w:val="20"/>
          <w:color w:val="auto"/>
        </w:rPr>
        <w:t>. The Employee acknowledges that there may be exchange control, tax, foreign asset and/or account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05" w:right="339" w:bottom="1440" w:gutter="0" w:footer="0" w:header="0"/>
        </w:sectPr>
      </w:pPr>
    </w:p>
    <w:bookmarkStart w:id="160" w:name="page161"/>
    <w:bookmarkEnd w:id="160"/>
    <w:p>
      <w:pPr>
        <w:ind w:right="20"/>
        <w:spacing w:after="0" w:line="229" w:lineRule="auto"/>
        <w:rPr>
          <w:sz w:val="20"/>
          <w:szCs w:val="20"/>
          <w:color w:val="auto"/>
        </w:rPr>
      </w:pPr>
      <w:r>
        <w:rPr>
          <w:rFonts w:ascii="Arial" w:cs="Arial" w:eastAsia="Arial" w:hAnsi="Arial"/>
          <w:sz w:val="18"/>
          <w:szCs w:val="18"/>
          <w:color w:val="auto"/>
        </w:rPr>
        <w:t>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The Employee acknowledges that it is the Employee’s responsibility to be compliant with such regulations, and the Employee should consult his or her personal legal advisor for any details.</w:t>
      </w:r>
    </w:p>
    <w:p>
      <w:pPr>
        <w:spacing w:after="0" w:line="157" w:lineRule="exact"/>
        <w:rPr>
          <w:sz w:val="20"/>
          <w:szCs w:val="20"/>
          <w:color w:val="auto"/>
        </w:rPr>
      </w:pPr>
    </w:p>
    <w:p>
      <w:pPr>
        <w:ind w:right="60" w:firstLine="656"/>
        <w:spacing w:after="0" w:line="236" w:lineRule="auto"/>
        <w:tabs>
          <w:tab w:leader="none" w:pos="109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spacing w:after="0" w:line="157" w:lineRule="exact"/>
        <w:rPr>
          <w:rFonts w:ascii="Arial" w:cs="Arial" w:eastAsia="Arial" w:hAnsi="Arial"/>
          <w:sz w:val="18"/>
          <w:szCs w:val="18"/>
          <w:color w:val="auto"/>
        </w:rPr>
      </w:pPr>
    </w:p>
    <w:p>
      <w:pPr>
        <w:ind w:right="180" w:firstLine="656"/>
        <w:spacing w:after="0" w:line="218" w:lineRule="auto"/>
        <w:tabs>
          <w:tab w:leader="none" w:pos="1093"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156" w:lineRule="exact"/>
        <w:rPr>
          <w:rFonts w:ascii="Arial" w:cs="Arial" w:eastAsia="Arial" w:hAnsi="Arial"/>
          <w:sz w:val="20"/>
          <w:szCs w:val="20"/>
          <w:color w:val="auto"/>
        </w:rPr>
      </w:pPr>
    </w:p>
    <w:p>
      <w:pPr>
        <w:ind w:firstLine="656"/>
        <w:spacing w:after="0" w:line="231" w:lineRule="auto"/>
        <w:tabs>
          <w:tab w:leader="none" w:pos="1093"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80"/>
          </w:cols>
          <w:pgMar w:left="320" w:top="1405" w:right="399" w:bottom="1440" w:gutter="0" w:footer="0" w:header="0"/>
        </w:sectPr>
      </w:pPr>
    </w:p>
    <w:bookmarkStart w:id="161" w:name="page162"/>
    <w:bookmarkEnd w:id="161"/>
    <w:p>
      <w:pPr>
        <w:jc w:val="center"/>
        <w:ind w:right="-99"/>
        <w:spacing w:after="0"/>
        <w:rPr>
          <w:sz w:val="20"/>
          <w:szCs w:val="20"/>
          <w:color w:val="auto"/>
        </w:rPr>
      </w:pPr>
      <w:r>
        <w:rPr>
          <w:rFonts w:ascii="Arial" w:cs="Arial" w:eastAsia="Arial" w:hAnsi="Arial"/>
          <w:sz w:val="20"/>
          <w:szCs w:val="20"/>
          <w:i w:val="1"/>
          <w:iCs w:val="1"/>
          <w:color w:val="auto"/>
        </w:rPr>
        <w:t>***</w:t>
      </w:r>
    </w:p>
    <w:p>
      <w:pPr>
        <w:spacing w:after="0" w:line="196" w:lineRule="exact"/>
        <w:rPr>
          <w:sz w:val="20"/>
          <w:szCs w:val="20"/>
          <w:color w:val="auto"/>
        </w:rPr>
      </w:pPr>
    </w:p>
    <w:p>
      <w:pPr>
        <w:ind w:firstLine="648"/>
        <w:spacing w:after="0" w:line="214" w:lineRule="auto"/>
        <w:rPr>
          <w:sz w:val="20"/>
          <w:szCs w:val="20"/>
          <w:color w:val="auto"/>
        </w:rPr>
      </w:pPr>
      <w:r>
        <w:rPr>
          <w:rFonts w:ascii="Arial" w:cs="Arial" w:eastAsia="Arial" w:hAnsi="Arial"/>
          <w:sz w:val="20"/>
          <w:szCs w:val="20"/>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197"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/s/ Ellen M. Smith</w:t>
      </w:r>
    </w:p>
    <w:p>
      <w:pPr>
        <w:spacing w:after="0" w:line="1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Ellen M. Smith</w:t>
      </w:r>
    </w:p>
    <w:p>
      <w:pPr>
        <w:ind w:left="4540"/>
        <w:spacing w:after="0"/>
        <w:rPr>
          <w:sz w:val="20"/>
          <w:szCs w:val="20"/>
          <w:color w:val="auto"/>
        </w:rPr>
      </w:pPr>
      <w:r>
        <w:rPr>
          <w:rFonts w:ascii="Arial" w:cs="Arial" w:eastAsia="Arial" w:hAnsi="Arial"/>
          <w:sz w:val="20"/>
          <w:szCs w:val="20"/>
          <w:color w:val="auto"/>
        </w:rPr>
        <w:t>SVP &amp; Chief Counsel, Chief Compliance 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60"/>
          </w:cols>
          <w:pgMar w:left="320" w:top="1405" w:right="419" w:bottom="1440" w:gutter="0" w:footer="0" w:header="0"/>
        </w:sectPr>
      </w:pPr>
    </w:p>
    <w:bookmarkStart w:id="162" w:name="page163"/>
    <w:bookmarkEnd w:id="162"/>
    <w:p>
      <w:pPr>
        <w:ind w:left="5020"/>
        <w:spacing w:after="0"/>
        <w:rPr>
          <w:sz w:val="20"/>
          <w:szCs w:val="20"/>
          <w:color w:val="auto"/>
        </w:rPr>
      </w:pPr>
      <w:r>
        <w:rPr>
          <w:rFonts w:ascii="Arial" w:cs="Arial" w:eastAsia="Arial" w:hAnsi="Arial"/>
          <w:sz w:val="20"/>
          <w:szCs w:val="20"/>
          <w:b w:val="1"/>
          <w:bCs w:val="1"/>
          <w:u w:val="single" w:color="auto"/>
          <w:color w:val="auto"/>
        </w:rPr>
        <w:t>APPENDIX A</w:t>
      </w:r>
    </w:p>
    <w:p>
      <w:pPr>
        <w:spacing w:after="0" w:line="18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MONDELĒZ INTERNATIONAL, INC.</w:t>
      </w:r>
    </w:p>
    <w:p>
      <w:pPr>
        <w:jc w:val="center"/>
        <w:ind w:right="-19"/>
        <w:spacing w:after="0" w:line="197" w:lineRule="auto"/>
        <w:rPr>
          <w:sz w:val="20"/>
          <w:szCs w:val="20"/>
          <w:color w:val="auto"/>
        </w:rPr>
      </w:pPr>
      <w:r>
        <w:rPr>
          <w:rFonts w:ascii="Arial" w:cs="Arial" w:eastAsia="Arial" w:hAnsi="Arial"/>
          <w:sz w:val="20"/>
          <w:szCs w:val="20"/>
          <w:b w:val="1"/>
          <w:bCs w:val="1"/>
          <w:color w:val="auto"/>
        </w:rPr>
        <w:t>AMENDED AND RESTATED 2005 PERFORMANCE INCENTIVE PLAN</w:t>
      </w:r>
    </w:p>
    <w:p>
      <w:pPr>
        <w:jc w:val="center"/>
        <w:ind w:right="-19"/>
        <w:spacing w:after="0"/>
        <w:rPr>
          <w:sz w:val="20"/>
          <w:szCs w:val="20"/>
          <w:color w:val="auto"/>
        </w:rPr>
      </w:pPr>
      <w:r>
        <w:rPr>
          <w:rFonts w:ascii="Arial" w:cs="Arial" w:eastAsia="Arial" w:hAnsi="Arial"/>
          <w:sz w:val="20"/>
          <w:szCs w:val="20"/>
          <w:b w:val="1"/>
          <w:bCs w:val="1"/>
          <w:color w:val="auto"/>
        </w:rPr>
        <w:t>(Amended and Restated as of February 3, 2017)</w:t>
      </w:r>
    </w:p>
    <w:p>
      <w:pPr>
        <w:spacing w:after="0" w:line="161"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ADDITIONAL TERMS AND CONDITIONS OF THE</w:t>
      </w:r>
    </w:p>
    <w:p>
      <w:pPr>
        <w:ind w:left="3320"/>
        <w:spacing w:after="0"/>
        <w:rPr>
          <w:sz w:val="20"/>
          <w:szCs w:val="20"/>
          <w:color w:val="auto"/>
        </w:rPr>
      </w:pPr>
      <w:r>
        <w:rPr>
          <w:rFonts w:ascii="Arial" w:cs="Arial" w:eastAsia="Arial" w:hAnsi="Arial"/>
          <w:sz w:val="20"/>
          <w:szCs w:val="20"/>
          <w:b w:val="1"/>
          <w:bCs w:val="1"/>
          <w:color w:val="auto"/>
        </w:rPr>
        <w:t>GLOBAL DEFERRED STOCK UNIT AGREEMENT</w:t>
      </w:r>
    </w:p>
    <w:p>
      <w:pPr>
        <w:spacing w:after="0" w:line="15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55" w:lineRule="exact"/>
        <w:rPr>
          <w:sz w:val="20"/>
          <w:szCs w:val="20"/>
          <w:color w:val="auto"/>
        </w:rPr>
      </w:pPr>
    </w:p>
    <w:p>
      <w:pPr>
        <w:ind w:right="20"/>
        <w:spacing w:after="0" w:line="207"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2022.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spacing w:after="0" w:line="160" w:lineRule="exact"/>
        <w:rPr>
          <w:sz w:val="20"/>
          <w:szCs w:val="20"/>
          <w:color w:val="auto"/>
        </w:rPr>
      </w:pPr>
    </w:p>
    <w:p>
      <w:pPr>
        <w:jc w:val="both"/>
        <w:ind w:right="40"/>
        <w:spacing w:after="0" w:line="218" w:lineRule="auto"/>
        <w:rPr>
          <w:sz w:val="20"/>
          <w:szCs w:val="20"/>
          <w:color w:val="auto"/>
        </w:rPr>
      </w:pPr>
      <w:r>
        <w:rPr>
          <w:rFonts w:ascii="Arial" w:cs="Arial" w:eastAsia="Arial" w:hAnsi="Arial"/>
          <w:sz w:val="20"/>
          <w:szCs w:val="20"/>
          <w:color w:val="auto"/>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spacing w:after="0" w:line="156" w:lineRule="exact"/>
        <w:rPr>
          <w:sz w:val="20"/>
          <w:szCs w:val="20"/>
          <w:color w:val="auto"/>
        </w:rPr>
      </w:pPr>
    </w:p>
    <w:p>
      <w:pPr>
        <w:ind w:right="80"/>
        <w:spacing w:after="0" w:line="218" w:lineRule="auto"/>
        <w:rPr>
          <w:sz w:val="20"/>
          <w:szCs w:val="20"/>
          <w:color w:val="auto"/>
        </w:rPr>
      </w:pPr>
      <w:r>
        <w:rPr>
          <w:rFonts w:ascii="Arial" w:cs="Arial" w:eastAsia="Arial" w:hAnsi="Arial"/>
          <w:sz w:val="20"/>
          <w:szCs w:val="20"/>
          <w:color w:val="auto"/>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EUROPEAN UNION / EUROPEAN ECONOMIC AREA, SWITZERLAND AND THE UNITED KINGDOM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18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If the Employee is based in the European Union (“EU”), the European Economic Area, Switzerland or the United Kingdom, the Employee should note that Mondelēz International, Inc., with registered address at 905 West Fulton Market, Suite 200, Chicago, Illinois 60607, U.S.A. is the controller responsible for the processing of the Employee's Personal Data (as defined below) in connection with the Agreement and the Plan.</w:t>
      </w:r>
    </w:p>
    <w:p>
      <w:pPr>
        <w:spacing w:after="0" w:line="156" w:lineRule="exact"/>
        <w:rPr>
          <w:sz w:val="20"/>
          <w:szCs w:val="20"/>
          <w:color w:val="auto"/>
        </w:rPr>
      </w:pPr>
    </w:p>
    <w:p>
      <w:pPr>
        <w:ind w:right="20"/>
        <w:spacing w:after="0" w:line="206" w:lineRule="auto"/>
        <w:rPr>
          <w:sz w:val="20"/>
          <w:szCs w:val="20"/>
          <w:color w:val="auto"/>
        </w:rPr>
      </w:pPr>
      <w:r>
        <w:rPr>
          <w:rFonts w:ascii="Arial" w:cs="Arial" w:eastAsia="Arial" w:hAnsi="Arial"/>
          <w:sz w:val="20"/>
          <w:szCs w:val="20"/>
          <w:u w:val="single" w:color="auto"/>
          <w:color w:val="auto"/>
        </w:rPr>
        <w:t>Data Collection and Usage</w:t>
      </w:r>
      <w:r>
        <w:rPr>
          <w:rFonts w:ascii="Arial" w:cs="Arial" w:eastAsia="Arial" w:hAnsi="Arial"/>
          <w:sz w:val="20"/>
          <w:szCs w:val="20"/>
          <w:color w:val="auto"/>
        </w:rPr>
        <w:t>.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399" w:right="339" w:bottom="1440" w:gutter="0" w:footer="0" w:header="0"/>
        </w:sectPr>
      </w:pPr>
    </w:p>
    <w:bookmarkStart w:id="163" w:name="page164"/>
    <w:bookmarkEnd w:id="163"/>
    <w:p>
      <w:pPr>
        <w:ind w:right="120"/>
        <w:spacing w:after="0" w:line="268"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spacing w:after="0" w:line="134" w:lineRule="exact"/>
        <w:rPr>
          <w:sz w:val="20"/>
          <w:szCs w:val="20"/>
          <w:color w:val="auto"/>
        </w:rPr>
      </w:pPr>
    </w:p>
    <w:p>
      <w:pPr>
        <w:spacing w:after="0" w:line="212" w:lineRule="auto"/>
        <w:rPr>
          <w:sz w:val="20"/>
          <w:szCs w:val="20"/>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UBS, PricewaterhouseCoopers LLP or KPMG LLP with such agreement being a condition to the Employee’s ability to participate in the Plan.</w:t>
      </w:r>
    </w:p>
    <w:p>
      <w:pPr>
        <w:spacing w:after="0" w:line="156" w:lineRule="exact"/>
        <w:rPr>
          <w:sz w:val="20"/>
          <w:szCs w:val="20"/>
          <w:color w:val="auto"/>
        </w:rPr>
      </w:pPr>
    </w:p>
    <w:p>
      <w:pPr>
        <w:ind w:right="420"/>
        <w:spacing w:after="0" w:line="242" w:lineRule="auto"/>
        <w:rPr>
          <w:sz w:val="20"/>
          <w:szCs w:val="20"/>
          <w:color w:val="auto"/>
        </w:rPr>
      </w:pPr>
      <w:r>
        <w:rPr>
          <w:rFonts w:ascii="Arial" w:cs="Arial" w:eastAsia="Arial" w:hAnsi="Arial"/>
          <w:sz w:val="19"/>
          <w:szCs w:val="19"/>
          <w:color w:val="auto"/>
        </w:rPr>
        <w:t xml:space="preserve">The Employee may request a copy of the safeguards used to protect his or her Personal Data or the names and addresses of any potential recipients of Personal Data by contacting the Company at: </w:t>
      </w:r>
      <w:r>
        <w:rPr>
          <w:rFonts w:ascii="Arial" w:cs="Arial" w:eastAsia="Arial" w:hAnsi="Arial"/>
          <w:sz w:val="19"/>
          <w:szCs w:val="19"/>
          <w:u w:val="single" w:color="auto"/>
          <w:color w:val="auto"/>
        </w:rPr>
        <w:t>DataProtectionOfficeMEU@mdlz.com</w:t>
      </w:r>
      <w:r>
        <w:rPr>
          <w:rFonts w:ascii="Arial" w:cs="Arial" w:eastAsia="Arial" w:hAnsi="Arial"/>
          <w:sz w:val="19"/>
          <w:szCs w:val="19"/>
          <w:color w:val="auto"/>
        </w:rPr>
        <w:t>.</w:t>
      </w:r>
    </w:p>
    <w:p>
      <w:pPr>
        <w:spacing w:after="0" w:line="153" w:lineRule="exact"/>
        <w:rPr>
          <w:sz w:val="20"/>
          <w:szCs w:val="20"/>
          <w:color w:val="auto"/>
        </w:rPr>
      </w:pPr>
    </w:p>
    <w:p>
      <w:pPr>
        <w:ind w:right="80"/>
        <w:spacing w:after="0" w:line="224" w:lineRule="auto"/>
        <w:rPr>
          <w:sz w:val="20"/>
          <w:szCs w:val="20"/>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5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Arial" w:cs="Arial" w:eastAsia="Arial" w:hAnsi="Arial"/>
          <w:sz w:val="18"/>
          <w:szCs w:val="18"/>
          <w:u w:val="single" w:color="auto"/>
          <w:color w:val="auto"/>
        </w:rPr>
        <w:t>DataProtectionOfficeMEU@mdlz.com</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ALGERIA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20"/>
          </w:cols>
          <w:pgMar w:left="320" w:top="1405" w:right="359" w:bottom="1440" w:gutter="0" w:footer="0" w:header="0"/>
        </w:sectPr>
      </w:pPr>
    </w:p>
    <w:bookmarkStart w:id="164" w:name="page165"/>
    <w:bookmarkEnd w:id="164"/>
    <w:p>
      <w:pPr>
        <w:ind w:right="60"/>
        <w:spacing w:after="0" w:line="214"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9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Employees.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13 of the Agreement:</w:t>
      </w:r>
    </w:p>
    <w:p>
      <w:pPr>
        <w:spacing w:after="0" w:line="181" w:lineRule="exact"/>
        <w:rPr>
          <w:sz w:val="20"/>
          <w:szCs w:val="20"/>
          <w:color w:val="auto"/>
        </w:rPr>
      </w:pPr>
    </w:p>
    <w:p>
      <w:pPr>
        <w:spacing w:after="0" w:line="210" w:lineRule="auto"/>
        <w:rPr>
          <w:sz w:val="20"/>
          <w:szCs w:val="20"/>
          <w:color w:val="auto"/>
        </w:rPr>
      </w:pPr>
      <w:r>
        <w:rPr>
          <w:rFonts w:ascii="Arial" w:cs="Arial" w:eastAsia="Arial" w:hAnsi="Arial"/>
          <w:sz w:val="20"/>
          <w:szCs w:val="20"/>
          <w:color w:val="auto"/>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55" w:lineRule="exact"/>
        <w:rPr>
          <w:sz w:val="20"/>
          <w:szCs w:val="20"/>
          <w:color w:val="auto"/>
        </w:rPr>
      </w:pPr>
    </w:p>
    <w:p>
      <w:pPr>
        <w:ind w:right="560"/>
        <w:spacing w:after="0" w:line="229"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Employee acknowledges and agrees that such benefits shall not accrue more frequently than on each vesting date.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60"/>
        <w:spacing w:after="0" w:line="232"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Units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149" w:lineRule="exact"/>
        <w:rPr>
          <w:sz w:val="20"/>
          <w:szCs w:val="20"/>
          <w:color w:val="auto"/>
        </w:rPr>
      </w:pPr>
    </w:p>
    <w:p>
      <w:pPr>
        <w:ind w:right="120"/>
        <w:spacing w:after="0" w:line="214"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spacing w:after="0" w:line="152" w:lineRule="exact"/>
        <w:rPr>
          <w:sz w:val="20"/>
          <w:szCs w:val="20"/>
          <w:color w:val="auto"/>
        </w:rPr>
      </w:pPr>
    </w:p>
    <w:p>
      <w:pPr>
        <w:ind w:right="480"/>
        <w:spacing w:after="0" w:line="232"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Employee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acquired under the Plan) on his or her annual tax return each year.</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520"/>
        <w:spacing w:after="0" w:line="232"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applies (subject to the conditions in the Act).</w:t>
      </w:r>
    </w:p>
    <w:p>
      <w:pPr>
        <w:spacing w:after="0" w:line="149" w:lineRule="exact"/>
        <w:rPr>
          <w:sz w:val="20"/>
          <w:szCs w:val="20"/>
          <w:color w:val="auto"/>
        </w:rPr>
      </w:pPr>
    </w:p>
    <w:p>
      <w:pPr>
        <w:jc w:val="both"/>
        <w:ind w:right="60"/>
        <w:spacing w:after="0" w:line="232" w:lineRule="auto"/>
        <w:rPr>
          <w:sz w:val="20"/>
          <w:szCs w:val="20"/>
          <w:color w:val="auto"/>
        </w:rPr>
      </w:pPr>
      <w:r>
        <w:rPr>
          <w:rFonts w:ascii="Arial" w:cs="Arial" w:eastAsia="Arial" w:hAnsi="Arial"/>
          <w:sz w:val="19"/>
          <w:szCs w:val="19"/>
          <w:b w:val="1"/>
          <w:bCs w:val="1"/>
          <w:color w:val="auto"/>
        </w:rPr>
        <w:t xml:space="preserve">Australian Offer Document. </w:t>
      </w:r>
      <w:r>
        <w:rPr>
          <w:rFonts w:ascii="Arial" w:cs="Arial" w:eastAsia="Arial" w:hAnsi="Arial"/>
          <w:sz w:val="19"/>
          <w:szCs w:val="19"/>
          <w:color w:val="auto"/>
        </w:rPr>
        <w:t>The Employee’s right to participate in the Plan and receive the grant of Deferred Stock Units under the Plan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as stated in the offer document, the Plan and the Agreement. By accepting the grant of the Deferred Stock Units, the Employee acknowledges and confirms that the Employee has received these documents.</w:t>
      </w:r>
    </w:p>
    <w:p>
      <w:pPr>
        <w:spacing w:after="0" w:line="149"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b w:val="1"/>
          <w:bCs w:val="1"/>
          <w:color w:val="auto"/>
        </w:rPr>
        <w:t xml:space="preserve">No payment constituting breach of law in Australia. </w:t>
      </w:r>
      <w:r>
        <w:rPr>
          <w:rFonts w:ascii="Arial" w:cs="Arial" w:eastAsia="Arial" w:hAnsi="Arial"/>
          <w:sz w:val="20"/>
          <w:szCs w:val="20"/>
          <w:color w:val="auto"/>
        </w:rPr>
        <w:t>Notwithstanding anything else in the Plan or the Agreement, the Employee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be entitled to, and shall not claim any benefit (including without limitation a legal right) under the Plan if the provision of such benefit would give rise to a breach of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399" w:right="339" w:bottom="1440" w:gutter="0" w:footer="0" w:header="0"/>
        </w:sectPr>
      </w:pPr>
    </w:p>
    <w:bookmarkStart w:id="165" w:name="page166"/>
    <w:bookmarkEnd w:id="165"/>
    <w:p>
      <w:pPr>
        <w:ind w:right="100"/>
        <w:spacing w:after="0" w:line="218" w:lineRule="auto"/>
        <w:rPr>
          <w:sz w:val="20"/>
          <w:szCs w:val="20"/>
          <w:color w:val="auto"/>
        </w:rPr>
      </w:pPr>
      <w:r>
        <w:rPr>
          <w:rFonts w:ascii="Arial" w:cs="Arial" w:eastAsia="Arial" w:hAnsi="Arial"/>
          <w:sz w:val="20"/>
          <w:szCs w:val="20"/>
          <w:color w:val="auto"/>
        </w:rPr>
        <w:t>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60"/>
        <w:spacing w:after="0" w:line="23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Employee’s behalf, otherwise the Employee will be responsible for complying with any exchange control reporting requirements.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20"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Employee holds shares of Common Stock acquired under the Plan or cash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proceeds from the sale of shares of Common Stock) outside Austria, the Employee may be subject to reporting obligations to the Austrian National Bank.</w:t>
      </w:r>
    </w:p>
    <w:p>
      <w:pPr>
        <w:spacing w:after="0" w:line="151" w:lineRule="exact"/>
        <w:rPr>
          <w:sz w:val="20"/>
          <w:szCs w:val="20"/>
          <w:color w:val="auto"/>
        </w:rPr>
      </w:pPr>
    </w:p>
    <w:p>
      <w:pPr>
        <w:spacing w:after="0" w:line="22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 separate reporting requirement applies if the Employee sells shares of Common Stock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receives a cash dividend paid on such shares of Common Stock. In that case, there may be exchange control obligations if the cash proceeds are held outside of Austria. If the transaction volume of all cash accounts abroad meets or exceeds a specific threshold, the movements and balances of all accounts must be reported monthly, as of the last day of the month, on or before the 15th day of the following month, on the prescribed form (</w:t>
      </w:r>
      <w:r>
        <w:rPr>
          <w:rFonts w:ascii="Arial" w:cs="Arial" w:eastAsia="Arial" w:hAnsi="Arial"/>
          <w:sz w:val="19"/>
          <w:szCs w:val="19"/>
          <w:i w:val="1"/>
          <w:iCs w:val="1"/>
          <w:color w:val="auto"/>
        </w:rPr>
        <w:t>Meldungen SI-Forderungen und/oder SI-Verpflichtungen</w:t>
      </w:r>
      <w:r>
        <w:rPr>
          <w:rFonts w:ascii="Arial" w:cs="Arial" w:eastAsia="Arial" w:hAnsi="Arial"/>
          <w:sz w:val="19"/>
          <w:szCs w:val="19"/>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4"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Agreement does not constitute advertising or an offering of securities in Bahrain, nor does it constitute an</w:t>
      </w:r>
      <w:r>
        <w:rPr>
          <w:rFonts w:ascii="Arial" w:cs="Arial" w:eastAsia="Arial" w:hAnsi="Arial"/>
          <w:sz w:val="19"/>
          <w:szCs w:val="19"/>
          <w:b w:val="1"/>
          <w:bCs w:val="1"/>
          <w:color w:val="auto"/>
        </w:rPr>
        <w:t xml:space="preserve"> </w:t>
      </w:r>
      <w:r>
        <w:rPr>
          <w:rFonts w:ascii="Arial" w:cs="Arial" w:eastAsia="Arial" w:hAnsi="Arial"/>
          <w:sz w:val="19"/>
          <w:szCs w:val="19"/>
          <w:color w:val="auto"/>
        </w:rPr>
        <w:t>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the Nasdaq Global Select Market).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11"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Employee is required to report any securities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acquired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05" w:right="339" w:bottom="1440" w:gutter="0" w:footer="0" w:header="0"/>
        </w:sectPr>
      </w:pPr>
    </w:p>
    <w:bookmarkStart w:id="166" w:name="page167"/>
    <w:bookmarkEnd w:id="166"/>
    <w:p>
      <w:pPr>
        <w:ind w:right="480"/>
        <w:spacing w:after="0" w:line="229" w:lineRule="auto"/>
        <w:rPr>
          <w:sz w:val="20"/>
          <w:szCs w:val="20"/>
          <w:color w:val="auto"/>
        </w:rPr>
      </w:pPr>
      <w:r>
        <w:rPr>
          <w:rFonts w:ascii="Arial" w:cs="Arial" w:eastAsia="Arial" w:hAnsi="Arial"/>
          <w:sz w:val="20"/>
          <w:szCs w:val="20"/>
          <w:color w:val="auto"/>
        </w:rPr>
        <w:t>Belgium, www.nbb.be, under Kredietcentrales / Centrales des crédits caption. The Employee should consult a personal tax advisor with respect to the applicable reporting obligations.</w:t>
      </w:r>
    </w:p>
    <w:p>
      <w:pPr>
        <w:spacing w:after="0" w:line="149"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b w:val="1"/>
          <w:bCs w:val="1"/>
          <w:color w:val="auto"/>
        </w:rPr>
        <w:t>Annual Securities Accounts Tax</w:t>
      </w:r>
      <w:r>
        <w:rPr>
          <w:rFonts w:ascii="Arial" w:cs="Arial" w:eastAsia="Arial" w:hAnsi="Arial"/>
          <w:sz w:val="18"/>
          <w:szCs w:val="18"/>
          <w:color w:val="auto"/>
        </w:rPr>
        <w:t>. If the value of securities held in a Belgian or foreign securities account exceeds EUR 1 million, a new</w:t>
      </w:r>
      <w:r>
        <w:rPr>
          <w:rFonts w:ascii="Arial" w:cs="Arial" w:eastAsia="Arial" w:hAnsi="Arial"/>
          <w:sz w:val="18"/>
          <w:szCs w:val="18"/>
          <w:b w:val="1"/>
          <w:bCs w:val="1"/>
          <w:color w:val="auto"/>
        </w:rPr>
        <w:t xml:space="preserve"> </w:t>
      </w:r>
      <w:r>
        <w:rPr>
          <w:rFonts w:ascii="Arial" w:cs="Arial" w:eastAsia="Arial" w:hAnsi="Arial"/>
          <w:sz w:val="18"/>
          <w:szCs w:val="18"/>
          <w:color w:val="auto"/>
        </w:rPr>
        <w:t>“annual securities accounts tax” applies. Belgian residents should consult with their personal tax advisor regarding the new tax.</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Deferred Stock Units, the Employee acknowledges that he or she agrees to comply with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Brazilian laws and pay any and all applicable Tax-Related Items associated with the vesting of the Deferred Stock Units, the receipt of any dividends and the sale of shares of Common Stock acquired under the Plan.</w:t>
      </w:r>
    </w:p>
    <w:p>
      <w:pPr>
        <w:spacing w:after="0" w:line="151"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b w:val="1"/>
          <w:bCs w:val="1"/>
          <w:color w:val="auto"/>
        </w:rPr>
        <w:t>Labor Law Acknowledgment</w:t>
      </w:r>
      <w:r>
        <w:rPr>
          <w:rFonts w:ascii="Arial" w:cs="Arial" w:eastAsia="Arial" w:hAnsi="Arial"/>
          <w:sz w:val="19"/>
          <w:szCs w:val="19"/>
          <w:color w:val="auto"/>
        </w:rPr>
        <w:t>. By accepting the Deferred Stock Units, the Employee understands, acknowledges and agrees that,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legal purposes (i) the Employee is making an investment decision and (ii) the value of the underlying shares of Common Stock are not fixed and may increase or decrease in value over the vesting period without compensation to the Employee.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Individuals who are resident or domiciled in Brazil are generally required to submit an annual declaration</w:t>
      </w:r>
    </w:p>
    <w:p>
      <w:pPr>
        <w:spacing w:after="0" w:line="212" w:lineRule="auto"/>
        <w:rPr>
          <w:sz w:val="20"/>
          <w:szCs w:val="20"/>
          <w:color w:val="auto"/>
        </w:rPr>
      </w:pPr>
      <w:r>
        <w:rPr>
          <w:rFonts w:ascii="Arial" w:cs="Arial" w:eastAsia="Arial" w:hAnsi="Arial"/>
          <w:sz w:val="19"/>
          <w:szCs w:val="19"/>
          <w:color w:val="auto"/>
        </w:rPr>
        <w:t>of assets and rights held outside Brazil to the Central Bank of Brazil if the aggregate value of such assets and rights is greater than</w:t>
      </w:r>
    </w:p>
    <w:p>
      <w:pPr>
        <w:spacing w:after="0" w:line="219" w:lineRule="auto"/>
        <w:rPr>
          <w:sz w:val="20"/>
          <w:szCs w:val="20"/>
          <w:color w:val="auto"/>
        </w:rPr>
      </w:pPr>
      <w:r>
        <w:rPr>
          <w:rFonts w:ascii="Arial" w:cs="Arial" w:eastAsia="Arial" w:hAnsi="Arial"/>
          <w:sz w:val="18"/>
          <w:szCs w:val="18"/>
          <w:color w:val="auto"/>
        </w:rPr>
        <w:t>US$1,000,000. If such amount is equal to or greater than US$100,000,000, the referenced declaration must be submitted quarterly, in the</w:t>
      </w:r>
    </w:p>
    <w:p>
      <w:pPr>
        <w:spacing w:after="0" w:line="207" w:lineRule="auto"/>
        <w:rPr>
          <w:sz w:val="20"/>
          <w:szCs w:val="20"/>
          <w:color w:val="auto"/>
        </w:rPr>
      </w:pPr>
      <w:r>
        <w:rPr>
          <w:rFonts w:ascii="Arial" w:cs="Arial" w:eastAsia="Arial" w:hAnsi="Arial"/>
          <w:sz w:val="19"/>
          <w:szCs w:val="19"/>
          <w:color w:val="auto"/>
        </w:rPr>
        <w:t>month following the end of each quarter. Assets and rights to be included in this annual declaration include shares of Common Stock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acquired under the Plan.</w:t>
      </w:r>
    </w:p>
    <w:p>
      <w:pPr>
        <w:spacing w:after="0" w:line="153"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Repatriation of funds (</w:t>
      </w:r>
      <w:r>
        <w:rPr>
          <w:rFonts w:ascii="Arial" w:cs="Arial" w:eastAsia="Arial" w:hAnsi="Arial"/>
          <w:sz w:val="19"/>
          <w:szCs w:val="19"/>
          <w:i w:val="1"/>
          <w:iCs w:val="1"/>
          <w:color w:val="auto"/>
        </w:rPr>
        <w:t>e.g.</w:t>
      </w:r>
      <w:r>
        <w:rPr>
          <w:rFonts w:ascii="Arial" w:cs="Arial" w:eastAsia="Arial" w:hAnsi="Arial"/>
          <w:sz w:val="19"/>
          <w:szCs w:val="19"/>
          <w:color w:val="auto"/>
        </w:rPr>
        <w:t>, sale proceeds from the sale of shares of Common Stock and/or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Employee will be required to file statistical forms with the Bulgarian national bank annually regarding</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receivables in bank accounts abroad as well as securities held abroad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The Employee should contact his or her bank in Bulgaria for additional information regarding these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Form of Settlement. </w:t>
      </w:r>
      <w:r>
        <w:rPr>
          <w:rFonts w:ascii="Arial" w:cs="Arial" w:eastAsia="Arial" w:hAnsi="Arial"/>
          <w:sz w:val="19"/>
          <w:szCs w:val="19"/>
          <w:color w:val="auto"/>
        </w:rPr>
        <w:t>Deferred Stock Units granted to employees resident in Canada shall be paid in shares of Common Stock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20"/>
          </w:cols>
          <w:pgMar w:left="320" w:top="1405" w:right="35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 2 of the Agreement:</w:t>
      </w:r>
    </w:p>
    <w:p>
      <w:pPr>
        <w:spacing w:after="0" w:line="18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 terminated, or (2) the date the Employee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spacing w:after="0" w:line="157" w:lineRule="exact"/>
        <w:rPr>
          <w:sz w:val="20"/>
          <w:szCs w:val="20"/>
          <w:color w:val="auto"/>
        </w:rPr>
      </w:pPr>
    </w:p>
    <w:p>
      <w:pPr>
        <w:ind w:right="180"/>
        <w:spacing w:after="0" w:line="221" w:lineRule="auto"/>
        <w:rPr>
          <w:sz w:val="20"/>
          <w:szCs w:val="20"/>
          <w:color w:val="auto"/>
        </w:rPr>
      </w:pPr>
      <w:r>
        <w:rPr>
          <w:rFonts w:ascii="Arial" w:cs="Arial" w:eastAsia="Arial" w:hAnsi="Arial"/>
          <w:sz w:val="19"/>
          <w:szCs w:val="19"/>
          <w:color w:val="auto"/>
        </w:rPr>
        <w:t>Notwithstanding the foregoing, if applicable employment standards legislation explicitly requires continued entitlement to vesting during a statutory notice period, the Employee’s right to vest in the Deferred Stock Units under the Plan, if any, will terminate effective as of the last day of the Employee’s minimum statutory notice period. The Employee will not earn or be entitled to pro-rated vesting for that portion of time before the date on which the Employee’s right to vest terminates or if the vesting date falls after the end of the Employee’s statutory notice period, nor will the Participant be entitled to any compensation for lost vesting.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Employees resident in Quebec:</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paragraph 14 of the Agreement:</w:t>
      </w:r>
    </w:p>
    <w:p>
      <w:pPr>
        <w:spacing w:after="0" w:line="181" w:lineRule="exact"/>
        <w:rPr>
          <w:sz w:val="20"/>
          <w:szCs w:val="20"/>
          <w:color w:val="auto"/>
        </w:rPr>
      </w:pPr>
    </w:p>
    <w:p>
      <w:pPr>
        <w:jc w:val="both"/>
        <w:ind w:right="180"/>
        <w:spacing w:after="0" w:line="236" w:lineRule="auto"/>
        <w:rPr>
          <w:sz w:val="20"/>
          <w:szCs w:val="20"/>
          <w:color w:val="auto"/>
        </w:rPr>
      </w:pPr>
      <w:r>
        <w:rPr>
          <w:rFonts w:ascii="Arial" w:cs="Arial" w:eastAsia="Arial" w:hAnsi="Arial"/>
          <w:sz w:val="18"/>
          <w:szCs w:val="18"/>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further authorizes the Mondelēz Group to record such information and to keep such information in his or her employee file.</w:t>
      </w:r>
    </w:p>
    <w:p>
      <w:pPr>
        <w:spacing w:after="0" w:line="152"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57" w:lineRule="exact"/>
        <w:rPr>
          <w:sz w:val="20"/>
          <w:szCs w:val="20"/>
          <w:color w:val="auto"/>
        </w:rPr>
      </w:pPr>
    </w:p>
    <w:p>
      <w:pPr>
        <w:ind w:right="220"/>
        <w:spacing w:after="0" w:line="218"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tous documents, avis et procédures judiciaires, exécutés, donnés ou intentés en vertu de, ou liés directement ou indirectement à, la présente convention.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300"/>
        <w:spacing w:after="0" w:line="23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Employee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49"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Employee is required to report any specified foreign property annually on Form T1135</w:t>
      </w:r>
      <w:r>
        <w:rPr>
          <w:rFonts w:ascii="Arial" w:cs="Arial" w:eastAsia="Arial" w:hAnsi="Arial"/>
          <w:sz w:val="19"/>
          <w:szCs w:val="19"/>
          <w:b w:val="1"/>
          <w:bCs w:val="1"/>
          <w:color w:val="auto"/>
        </w:rPr>
        <w:t xml:space="preserve"> </w:t>
      </w:r>
      <w:r>
        <w:rPr>
          <w:rFonts w:ascii="Arial" w:cs="Arial" w:eastAsia="Arial" w:hAnsi="Arial"/>
          <w:sz w:val="19"/>
          <w:szCs w:val="19"/>
          <w:color w:val="auto"/>
        </w:rPr>
        <w:t>(Foreign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399" w:right="339" w:bottom="1440" w:gutter="0" w:footer="0" w:header="0"/>
        </w:sectPr>
      </w:pPr>
    </w:p>
    <w:bookmarkStart w:id="168" w:name="page169"/>
    <w:bookmarkEnd w:id="168"/>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Deferred Stock Units constitutes a private offering of securities in Chile effective as of the Grant</w:t>
      </w:r>
    </w:p>
    <w:p>
      <w:pPr>
        <w:spacing w:after="0" w:line="212" w:lineRule="auto"/>
        <w:rPr>
          <w:sz w:val="20"/>
          <w:szCs w:val="20"/>
          <w:color w:val="auto"/>
        </w:rPr>
      </w:pPr>
      <w:r>
        <w:rPr>
          <w:rFonts w:ascii="Arial" w:cs="Arial" w:eastAsia="Arial" w:hAnsi="Arial"/>
          <w:sz w:val="19"/>
          <w:szCs w:val="19"/>
          <w:color w:val="auto"/>
        </w:rPr>
        <w:t>Date. The offer of Deferred Stock Units is made subject to general ruling N° 336 of the Chilean Commission for the Financial Market</w:t>
      </w:r>
    </w:p>
    <w:p>
      <w:pPr>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CMF</w:t>
      </w:r>
      <w:r>
        <w:rPr>
          <w:rFonts w:ascii="Arial" w:cs="Arial" w:eastAsia="Arial" w:hAnsi="Arial"/>
          <w:sz w:val="18"/>
          <w:szCs w:val="18"/>
          <w:color w:val="auto"/>
        </w:rPr>
        <w:t>”). The offer refers to securities not registered at the securities registry or at the foreign securities registry of the CMF, and, therefore,</w:t>
      </w:r>
    </w:p>
    <w:p>
      <w:pPr>
        <w:spacing w:after="0" w:line="219" w:lineRule="auto"/>
        <w:rPr>
          <w:sz w:val="20"/>
          <w:szCs w:val="20"/>
          <w:color w:val="auto"/>
        </w:rPr>
      </w:pPr>
      <w:r>
        <w:rPr>
          <w:rFonts w:ascii="Arial" w:cs="Arial" w:eastAsia="Arial" w:hAnsi="Arial"/>
          <w:sz w:val="18"/>
          <w:szCs w:val="18"/>
          <w:color w:val="auto"/>
        </w:rPr>
        <w:t>such securities are not subject to oversight of the CMF. Given that the Deferred Stock Units are not registered in Chile, the Company is not</w:t>
      </w:r>
    </w:p>
    <w:p>
      <w:pPr>
        <w:spacing w:after="0" w:line="219" w:lineRule="auto"/>
        <w:rPr>
          <w:sz w:val="20"/>
          <w:szCs w:val="20"/>
          <w:color w:val="auto"/>
        </w:rPr>
      </w:pPr>
      <w:r>
        <w:rPr>
          <w:rFonts w:ascii="Arial" w:cs="Arial" w:eastAsia="Arial" w:hAnsi="Arial"/>
          <w:sz w:val="18"/>
          <w:szCs w:val="18"/>
          <w:color w:val="auto"/>
        </w:rPr>
        <w:t>required to provide public information about the Deferred Stock Units or the shares of Common Stock in Chile. Unless the Deferred Stock</w:t>
      </w:r>
    </w:p>
    <w:p>
      <w:pPr>
        <w:spacing w:after="0"/>
        <w:rPr>
          <w:sz w:val="20"/>
          <w:szCs w:val="20"/>
          <w:color w:val="auto"/>
        </w:rPr>
      </w:pPr>
      <w:r>
        <w:rPr>
          <w:rFonts w:ascii="Arial" w:cs="Arial" w:eastAsia="Arial" w:hAnsi="Arial"/>
          <w:sz w:val="19"/>
          <w:szCs w:val="19"/>
          <w:color w:val="auto"/>
        </w:rPr>
        <w:t>Units and/or the shares of Common Stock are registered with the CMF, a public offering of such securities cannot be made in Chile.</w:t>
      </w:r>
    </w:p>
    <w:p>
      <w:pPr>
        <w:spacing w:after="0" w:line="171" w:lineRule="exact"/>
        <w:rPr>
          <w:sz w:val="20"/>
          <w:szCs w:val="20"/>
          <w:color w:val="auto"/>
        </w:rPr>
      </w:pPr>
    </w:p>
    <w:p>
      <w:pPr>
        <w:ind w:right="20"/>
        <w:spacing w:after="0" w:line="217" w:lineRule="auto"/>
        <w:rPr>
          <w:sz w:val="20"/>
          <w:szCs w:val="20"/>
          <w:color w:val="auto"/>
        </w:rPr>
      </w:pPr>
      <w:r>
        <w:rPr>
          <w:rFonts w:ascii="Arial" w:cs="Arial" w:eastAsia="Arial" w:hAnsi="Arial"/>
          <w:sz w:val="19"/>
          <w:szCs w:val="19"/>
          <w:i w:val="1"/>
          <w:iCs w:val="1"/>
          <w:color w:val="auto"/>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Arial" w:cs="Arial" w:eastAsia="Arial" w:hAnsi="Arial"/>
          <w:sz w:val="19"/>
          <w:szCs w:val="19"/>
          <w:i w:val="1"/>
          <w:iCs w:val="1"/>
          <w:u w:val="single" w:color="auto"/>
          <w:color w:val="auto"/>
        </w:rPr>
        <w:t>CMF</w:t>
      </w:r>
      <w:r>
        <w:rPr>
          <w:rFonts w:ascii="Arial" w:cs="Arial" w:eastAsia="Arial" w:hAnsi="Arial"/>
          <w:sz w:val="19"/>
          <w:szCs w:val="19"/>
          <w:i w:val="1"/>
          <w:iCs w:val="1"/>
          <w:color w:val="auto"/>
        </w:rPr>
        <w:t>”).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spacing w:after="0" w:line="150" w:lineRule="exact"/>
        <w:rPr>
          <w:sz w:val="20"/>
          <w:szCs w:val="20"/>
          <w:color w:val="auto"/>
        </w:rPr>
      </w:pPr>
    </w:p>
    <w:p>
      <w:pPr>
        <w:spacing w:after="0" w:line="207"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not required to repatriate any funds he or she receives with respect to the Deferred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Units and/or the shares of Common Stock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of Common Stock or dividends received) to Chile. However, if the Employee decides to repatriate such funds, he or she must do so through the Formal Exchange Market (</w:t>
      </w:r>
      <w:r>
        <w:rPr>
          <w:rFonts w:ascii="Arial" w:cs="Arial" w:eastAsia="Arial" w:hAnsi="Arial"/>
          <w:sz w:val="20"/>
          <w:szCs w:val="20"/>
          <w:i w:val="1"/>
          <w:iCs w:val="1"/>
          <w:color w:val="auto"/>
        </w:rPr>
        <w:t>i.e.</w:t>
      </w:r>
      <w:r>
        <w:rPr>
          <w:rFonts w:ascii="Arial" w:cs="Arial" w:eastAsia="Arial" w:hAnsi="Arial"/>
          <w:sz w:val="20"/>
          <w:szCs w:val="20"/>
          <w:color w:val="auto"/>
        </w:rPr>
        <w:t>, a commercial bank or registered foreign exchange office) if the amount of the funds repatriated exceeds US$10,000. Further, if the value of the aggregate investments held by the Employee outside of Chile exceeds US$5,000,000 (</w:t>
      </w:r>
      <w:r>
        <w:rPr>
          <w:rFonts w:ascii="Arial" w:cs="Arial" w:eastAsia="Arial" w:hAnsi="Arial"/>
          <w:sz w:val="20"/>
          <w:szCs w:val="20"/>
          <w:i w:val="1"/>
          <w:iCs w:val="1"/>
          <w:color w:val="auto"/>
        </w:rPr>
        <w:t>e.g.</w:t>
      </w:r>
      <w:r>
        <w:rPr>
          <w:rFonts w:ascii="Arial" w:cs="Arial" w:eastAsia="Arial" w:hAnsi="Arial"/>
          <w:sz w:val="20"/>
          <w:szCs w:val="20"/>
          <w:color w:val="auto"/>
        </w:rPr>
        <w:t>, shares of Common Stock and cash proceeds acquired under the Plan), the Employee must report the investments annually to the Central Bank using Annex 3.1 of Chapter XII of the Foreign Exchange Regulations.</w:t>
      </w:r>
    </w:p>
    <w:p>
      <w:pPr>
        <w:spacing w:after="0" w:line="157" w:lineRule="exact"/>
        <w:rPr>
          <w:sz w:val="20"/>
          <w:szCs w:val="20"/>
          <w:color w:val="auto"/>
        </w:rPr>
      </w:pPr>
    </w:p>
    <w:p>
      <w:pPr>
        <w:ind w:right="420"/>
        <w:spacing w:after="0" w:line="229"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Employee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Deferred Stock Units.</w:t>
      </w:r>
    </w:p>
    <w:p>
      <w:pPr>
        <w:spacing w:after="0" w:line="14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b w:val="1"/>
          <w:bCs w:val="1"/>
          <w:color w:val="auto"/>
        </w:rPr>
        <w:t>Foreign Asset / Account Reporting Information</w:t>
      </w:r>
      <w:r>
        <w:rPr>
          <w:rFonts w:ascii="Arial" w:cs="Arial" w:eastAsia="Arial" w:hAnsi="Arial"/>
          <w:sz w:val="18"/>
          <w:szCs w:val="18"/>
          <w:color w:val="auto"/>
        </w:rPr>
        <w:t>. If the Employee holds shares of Common Stock acquired under the Plan outside Chile,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will be required to inform the Chilean Internal Revenue Service (the “</w:t>
      </w:r>
      <w:r>
        <w:rPr>
          <w:rFonts w:ascii="Arial" w:cs="Arial" w:eastAsia="Arial" w:hAnsi="Arial"/>
          <w:sz w:val="18"/>
          <w:szCs w:val="18"/>
          <w:u w:val="single" w:color="auto"/>
          <w:color w:val="auto"/>
        </w:rPr>
        <w:t>CIRS</w:t>
      </w:r>
      <w:r>
        <w:rPr>
          <w:rFonts w:ascii="Arial" w:cs="Arial" w:eastAsia="Arial" w:hAnsi="Arial"/>
          <w:sz w:val="18"/>
          <w:szCs w:val="18"/>
          <w:color w:val="auto"/>
        </w:rPr>
        <w:t>”)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June 30 each year, which should be submitted electronically through the CIRS website: www.sii.cl.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75" w:lineRule="exact"/>
        <w:rPr>
          <w:sz w:val="20"/>
          <w:szCs w:val="20"/>
          <w:color w:val="auto"/>
        </w:rPr>
      </w:pPr>
    </w:p>
    <w:p>
      <w:pPr>
        <w:ind w:right="180"/>
        <w:spacing w:after="0" w:line="218" w:lineRule="auto"/>
        <w:rPr>
          <w:sz w:val="20"/>
          <w:szCs w:val="20"/>
          <w:color w:val="auto"/>
        </w:rPr>
      </w:pPr>
      <w:r>
        <w:rPr>
          <w:rFonts w:ascii="Arial" w:cs="Arial" w:eastAsia="Arial" w:hAnsi="Arial"/>
          <w:sz w:val="20"/>
          <w:szCs w:val="20"/>
          <w:b w:val="1"/>
          <w:bCs w:val="1"/>
          <w:i w:val="1"/>
          <w:iCs w:val="1"/>
          <w:color w:val="auto"/>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440" w:right="339" w:bottom="1440" w:gutter="0" w:footer="0" w:header="0"/>
        </w:sectPr>
      </w:pPr>
    </w:p>
    <w:bookmarkStart w:id="169" w:name="page170"/>
    <w:bookmarkEnd w:id="169"/>
    <w:p>
      <w:pPr>
        <w:ind w:right="40"/>
        <w:spacing w:after="0" w:line="226" w:lineRule="auto"/>
        <w:rPr>
          <w:sz w:val="20"/>
          <w:szCs w:val="20"/>
          <w:color w:val="auto"/>
        </w:rPr>
      </w:pPr>
      <w:r>
        <w:rPr>
          <w:rFonts w:ascii="Arial" w:cs="Arial" w:eastAsia="Arial" w:hAnsi="Arial"/>
          <w:sz w:val="18"/>
          <w:szCs w:val="18"/>
          <w:b w:val="1"/>
          <w:bCs w:val="1"/>
          <w:color w:val="auto"/>
        </w:rPr>
        <w:t xml:space="preserve">Settlement of Deferred Stock Units and Sale of Shares. </w:t>
      </w:r>
      <w:r>
        <w:rPr>
          <w:rFonts w:ascii="Arial" w:cs="Arial" w:eastAsia="Arial" w:hAnsi="Arial"/>
          <w:sz w:val="18"/>
          <w:szCs w:val="18"/>
          <w:color w:val="auto"/>
        </w:rPr>
        <w:t>Due to legal restrictions in China, upon the vesting of Deferred Stock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spacing w:after="0" w:line="163"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the event that the Employee is not required to sell shares of Common Stock immediately upon vesting, any shares of Common Stock issued to the Employee must be maintained in an account with UBS Financial Services, Inc.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spacing w:after="0" w:line="149"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Employee understands and agrees that, due to exchange control laws in China, he or she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159"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399" w:right="3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13 of the Agreement:</w:t>
      </w:r>
    </w:p>
    <w:p>
      <w:pPr>
        <w:spacing w:after="0" w:line="204"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60"/>
        <w:spacing w:after="0" w:line="23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49" w:lineRule="exact"/>
        <w:rPr>
          <w:sz w:val="20"/>
          <w:szCs w:val="20"/>
          <w:color w:val="auto"/>
        </w:rPr>
      </w:pPr>
    </w:p>
    <w:p>
      <w:pPr>
        <w:ind w:right="200"/>
        <w:spacing w:after="0" w:line="226"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Colombian residents must register shares of Common Stock acquired under the Plan, regardless of value,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Central Bank of Colombia (</w:t>
      </w:r>
      <w:r>
        <w:rPr>
          <w:rFonts w:ascii="Arial" w:cs="Arial" w:eastAsia="Arial" w:hAnsi="Arial"/>
          <w:sz w:val="19"/>
          <w:szCs w:val="19"/>
          <w:i w:val="1"/>
          <w:iCs w:val="1"/>
          <w:color w:val="auto"/>
        </w:rPr>
        <w:t>Banco de la República</w:t>
      </w:r>
      <w:r>
        <w:rPr>
          <w:rFonts w:ascii="Arial" w:cs="Arial" w:eastAsia="Arial" w:hAnsi="Arial"/>
          <w:sz w:val="19"/>
          <w:szCs w:val="19"/>
          <w:color w:val="auto"/>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Arial" w:cs="Arial" w:eastAsia="Arial" w:hAnsi="Arial"/>
          <w:sz w:val="19"/>
          <w:szCs w:val="19"/>
          <w:i w:val="1"/>
          <w:iCs w:val="1"/>
          <w:color w:val="auto"/>
        </w:rPr>
        <w:t>declaración de cambio</w:t>
      </w:r>
      <w:r>
        <w:rPr>
          <w:rFonts w:ascii="Arial" w:cs="Arial" w:eastAsia="Arial" w:hAnsi="Arial"/>
          <w:sz w:val="19"/>
          <w:szCs w:val="19"/>
          <w:color w:val="auto"/>
        </w:rPr>
        <w:t>).</w:t>
      </w:r>
    </w:p>
    <w:p>
      <w:pPr>
        <w:spacing w:after="0" w:line="155"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spacing w:after="0" w:line="150" w:lineRule="exact"/>
        <w:rPr>
          <w:sz w:val="20"/>
          <w:szCs w:val="20"/>
          <w:color w:val="auto"/>
        </w:rPr>
      </w:pPr>
    </w:p>
    <w:p>
      <w:pPr>
        <w:ind w:right="100"/>
        <w:spacing w:after="0" w:line="23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Employee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Employee must describe each asset and indicate the jurisdiction in which it is located, its nature and its value.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CROATIA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11"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Croatian residents may be required to report any foreign investments (including shares of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 It is the Employee's responsibility to comply with Croatian exchange control 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05" w:right="33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181"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56" w:lineRule="exact"/>
        <w:rPr>
          <w:sz w:val="20"/>
          <w:szCs w:val="20"/>
          <w:color w:val="auto"/>
        </w:rPr>
      </w:pPr>
    </w:p>
    <w:p>
      <w:pPr>
        <w:spacing w:after="0" w:line="21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Czech residents may be required to fulfill certain notification duties in relation to the Deferred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opening and maintenance of a foreign account, including reporting foreign financial assets with a value of CZK 200,000,000 or more. The Employee should consult their personal legal advisor to ensure compliance with the applicable requirements.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820"/>
        <w:spacing w:after="0" w:line="249" w:lineRule="auto"/>
        <w:rPr>
          <w:sz w:val="20"/>
          <w:szCs w:val="20"/>
          <w:color w:val="auto"/>
        </w:rPr>
      </w:pPr>
      <w:r>
        <w:rPr>
          <w:rFonts w:ascii="Arial" w:cs="Arial" w:eastAsia="Arial" w:hAnsi="Arial"/>
          <w:sz w:val="19"/>
          <w:szCs w:val="19"/>
          <w:b w:val="1"/>
          <w:bCs w:val="1"/>
          <w:color w:val="auto"/>
        </w:rPr>
        <w:t>Stock Option Act</w:t>
      </w:r>
      <w:r>
        <w:rPr>
          <w:rFonts w:ascii="Arial" w:cs="Arial" w:eastAsia="Arial" w:hAnsi="Arial"/>
          <w:sz w:val="19"/>
          <w:szCs w:val="19"/>
          <w:color w:val="auto"/>
        </w:rPr>
        <w:t>. The Employee acknowledges that he or she has received an Employer Statement in Danish, which sets forth the</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terms of the Deferred Stock Units to the extent that the Danish Stock Option Act applies.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60"/>
        <w:spacing w:after="0" w:line="220"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Employee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05" w:right="33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transfers funds into Egypt in connection with the Deferred Stock Units, the Employee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transfer the funds through a registered bank in Egypt.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There are no specific reporting requirements with respect to foreign assets/accounts.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please note that the Employee must check their pre-completed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80"/>
        <w:spacing w:after="0" w:line="340" w:lineRule="auto"/>
        <w:rPr>
          <w:sz w:val="20"/>
          <w:szCs w:val="20"/>
          <w:color w:val="auto"/>
        </w:rPr>
      </w:pPr>
      <w:r>
        <w:rPr>
          <w:rFonts w:ascii="Arial" w:cs="Arial" w:eastAsia="Arial" w:hAnsi="Arial"/>
          <w:sz w:val="16"/>
          <w:szCs w:val="16"/>
          <w:b w:val="1"/>
          <w:bCs w:val="1"/>
          <w:color w:val="auto"/>
        </w:rPr>
        <w:t xml:space="preserve">Deferred Stock Units Not French-Qualified. </w:t>
      </w:r>
      <w:r>
        <w:rPr>
          <w:rFonts w:ascii="Arial" w:cs="Arial" w:eastAsia="Arial" w:hAnsi="Arial"/>
          <w:sz w:val="16"/>
          <w:szCs w:val="16"/>
          <w:color w:val="auto"/>
        </w:rPr>
        <w:t>The Deferred Stock Units granted under this Agreement are not intended to qualify for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tax and social security treatment pursuant to Sections L. 225-197-1 to L. 225-197-6 of the French Commercial Code, as amended.</w:t>
      </w:r>
    </w:p>
    <w:p>
      <w:pPr>
        <w:spacing w:after="0" w:line="73" w:lineRule="exact"/>
        <w:rPr>
          <w:sz w:val="20"/>
          <w:szCs w:val="20"/>
          <w:color w:val="auto"/>
        </w:rPr>
      </w:pPr>
    </w:p>
    <w:p>
      <w:pPr>
        <w:ind w:right="360"/>
        <w:spacing w:after="0" w:line="220"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Employee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Employee accepts the terms of those documents accordingly.</w:t>
      </w:r>
    </w:p>
    <w:p>
      <w:pPr>
        <w:spacing w:after="0" w:line="157" w:lineRule="exact"/>
        <w:rPr>
          <w:sz w:val="20"/>
          <w:szCs w:val="20"/>
          <w:color w:val="auto"/>
        </w:rPr>
      </w:pPr>
    </w:p>
    <w:p>
      <w:pPr>
        <w:ind w:right="680"/>
        <w:spacing w:after="0" w:line="333" w:lineRule="auto"/>
        <w:rPr>
          <w:sz w:val="20"/>
          <w:szCs w:val="20"/>
          <w:color w:val="auto"/>
        </w:rPr>
      </w:pPr>
      <w:r>
        <w:rPr>
          <w:rFonts w:ascii="Arial" w:cs="Arial" w:eastAsia="Arial" w:hAnsi="Arial"/>
          <w:sz w:val="16"/>
          <w:szCs w:val="16"/>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Arial" w:cs="Arial" w:eastAsia="Arial" w:hAnsi="Arial"/>
          <w:sz w:val="16"/>
          <w:szCs w:val="16"/>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Employee holds shares of Common Stock outside France or maintains a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18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399" w:right="339" w:bottom="1440" w:gutter="0" w:footer="0" w:header="0"/>
        </w:sectPr>
      </w:pPr>
    </w:p>
    <w:bookmarkStart w:id="173" w:name="page174"/>
    <w:bookmarkEnd w:id="173"/>
    <w:p>
      <w:pPr>
        <w:ind w:right="200"/>
        <w:spacing w:after="0" w:line="229" w:lineRule="auto"/>
        <w:rPr>
          <w:sz w:val="20"/>
          <w:szCs w:val="20"/>
          <w:color w:val="auto"/>
        </w:rPr>
      </w:pPr>
      <w:r>
        <w:rPr>
          <w:rFonts w:ascii="Arial" w:cs="Arial" w:eastAsia="Arial" w:hAnsi="Arial"/>
          <w:sz w:val="20"/>
          <w:szCs w:val="20"/>
          <w:color w:val="auto"/>
        </w:rPr>
        <w:t>Group, in each case subject to any Board of Directors or Committee action specifically addressing any such adjustments, cash payments, or continued employment treatment.</w:t>
      </w:r>
    </w:p>
    <w:p>
      <w:pPr>
        <w:spacing w:after="0" w:line="155" w:lineRule="exact"/>
        <w:rPr>
          <w:sz w:val="20"/>
          <w:szCs w:val="20"/>
          <w:color w:val="auto"/>
        </w:rPr>
      </w:pPr>
    </w:p>
    <w:p>
      <w:pPr>
        <w:spacing w:after="0" w:line="21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auto"/>
        </w:rPr>
        <w:t>www.bundesbank.de</w:t>
      </w:r>
      <w:r>
        <w:rPr>
          <w:rFonts w:ascii="Arial" w:cs="Arial" w:eastAsia="Arial" w:hAnsi="Arial"/>
          <w:sz w:val="18"/>
          <w:szCs w:val="18"/>
          <w:color w:val="auto"/>
        </w:rPr>
        <w:t>) and is available in both German and English. The Employee is responsible for satisfying the reporting obligation.</w:t>
      </w:r>
    </w:p>
    <w:p>
      <w:pPr>
        <w:spacing w:after="0" w:line="15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German residents holding Common Stock must notify their local tax office if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Common Stock under the Plan leads to a so-called qualified participation at any point during the calendar year. A qualified participation is attained only in the unlikely event (i) the Employee owns at least 1% of the Company and the value of the Common Stock acquired exceeds €150,000, or (ii) the Employee holds Common Stock exceeding 10% of the total capital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GUATEMALA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the Employee acknowledges that they have reviewed paragraph</w:t>
      </w:r>
      <w:r>
        <w:rPr>
          <w:rFonts w:ascii="Arial" w:cs="Arial" w:eastAsia="Arial" w:hAnsi="Arial"/>
          <w:sz w:val="20"/>
          <w:szCs w:val="20"/>
          <w:b w:val="1"/>
          <w:bCs w:val="1"/>
          <w:color w:val="auto"/>
        </w:rPr>
        <w:t xml:space="preserve"> </w:t>
      </w:r>
      <w:r>
        <w:rPr>
          <w:rFonts w:ascii="Arial" w:cs="Arial" w:eastAsia="Arial" w:hAnsi="Arial"/>
          <w:sz w:val="20"/>
          <w:szCs w:val="20"/>
          <w:color w:val="auto"/>
        </w:rPr>
        <w:t>17 of the Agreement and are sufficiently proficient in English, or, alternatively, that Employee will seek appropriate assistance, to understand the terms and conditions in the Agreement.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i w:val="1"/>
          <w:iCs w:val="1"/>
          <w:color w:val="auto"/>
        </w:rPr>
        <w:t>Warning: The contents of this document have not been reviewed by any regulatory authority in Hong Kong.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Employee is advised to exercise caution in relation to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05" w:right="339" w:bottom="1440" w:gutter="0" w:footer="0" w:header="0"/>
        </w:sectPr>
      </w:pPr>
    </w:p>
    <w:bookmarkStart w:id="174" w:name="page175"/>
    <w:bookmarkEnd w:id="174"/>
    <w:p>
      <w:pPr>
        <w:ind w:right="40"/>
        <w:spacing w:after="0" w:line="206" w:lineRule="auto"/>
        <w:rPr>
          <w:sz w:val="20"/>
          <w:szCs w:val="20"/>
          <w:color w:val="auto"/>
        </w:rPr>
      </w:pPr>
      <w:r>
        <w:rPr>
          <w:rFonts w:ascii="Arial" w:cs="Arial" w:eastAsia="Arial" w:hAnsi="Arial"/>
          <w:sz w:val="20"/>
          <w:szCs w:val="20"/>
          <w:i w:val="1"/>
          <w:iCs w:val="1"/>
          <w:color w:val="auto"/>
        </w:rPr>
        <w:t>If the Employee is in any doubt about any of the contents of the Agreement, including this Appendix, or the Plan, the Employee should obtain independent professional advice. The Deferred Stock Units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w:t>
      </w:r>
    </w:p>
    <w:p>
      <w:pPr>
        <w:spacing w:after="0" w:line="15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Shares of Common Stock received under the Plan are accepted as a personal investment. In the event the Deferred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vest and shares of Common Stock are issued to the Employee within six months of the Grant Date, the Employee agrees that he or she will not dispose of the shares of Common Stock acquired prior to the six-month anniversary of the Grant Date.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1" w:lineRule="auto"/>
        <w:rPr>
          <w:sz w:val="20"/>
          <w:szCs w:val="20"/>
          <w:color w:val="auto"/>
        </w:rPr>
      </w:pPr>
      <w:r>
        <w:rPr>
          <w:rFonts w:ascii="Arial" w:cs="Arial" w:eastAsia="Arial" w:hAnsi="Arial"/>
          <w:sz w:val="20"/>
          <w:szCs w:val="20"/>
          <w:b w:val="1"/>
          <w:bCs w:val="1"/>
          <w:color w:val="auto"/>
        </w:rPr>
        <w:t>Exchange Control Restrictions</w:t>
      </w:r>
      <w:r>
        <w:rPr>
          <w:rFonts w:ascii="Arial" w:cs="Arial" w:eastAsia="Arial" w:hAnsi="Arial"/>
          <w:sz w:val="20"/>
          <w:szCs w:val="20"/>
          <w:color w:val="auto"/>
        </w:rPr>
        <w:t>. The Employee must repatriate any cash dividends paid on shares of Common Stock and all proceeds</w:t>
      </w:r>
      <w:r>
        <w:rPr>
          <w:rFonts w:ascii="Arial" w:cs="Arial" w:eastAsia="Arial" w:hAnsi="Arial"/>
          <w:sz w:val="20"/>
          <w:szCs w:val="20"/>
          <w:b w:val="1"/>
          <w:bCs w:val="1"/>
          <w:color w:val="auto"/>
        </w:rPr>
        <w:t xml:space="preserve"> </w:t>
      </w:r>
      <w:r>
        <w:rPr>
          <w:rFonts w:ascii="Arial" w:cs="Arial" w:eastAsia="Arial" w:hAnsi="Arial"/>
          <w:sz w:val="20"/>
          <w:szCs w:val="20"/>
          <w:color w:val="auto"/>
        </w:rPr>
        <w:t>received from the sale of shares of Common Stock to India within the required time periods specified under applicable Indian exchange control regulations. The Employee must maintain the foreign inward remittance certificate received from the bank where the foreign currency is deposited in the event that the Reserve Bank of India or the Employer requests proof of repatriation. It is the Employee’s responsibility to comply with applicable exchange control laws in India.</w:t>
      </w:r>
    </w:p>
    <w:p>
      <w:pPr>
        <w:spacing w:after="0" w:line="150"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of Common Stock held outside India) in his or her annual tax return. It is the Employee’s responsibility to comply with this reporting obligation and the Employee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b w:val="1"/>
          <w:bCs w:val="1"/>
          <w:color w:val="auto"/>
        </w:rPr>
        <w:t>Language Consent and Notification</w:t>
      </w:r>
      <w:r>
        <w:rPr>
          <w:rFonts w:ascii="Arial" w:cs="Arial" w:eastAsia="Arial" w:hAnsi="Arial"/>
          <w:sz w:val="18"/>
          <w:szCs w:val="18"/>
          <w:color w:val="auto"/>
        </w:rPr>
        <w:t>. A translation of the documents relating to this Grant into Bahasa Indonesia can be provided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 upon request to Daning Novianti, My Rewards Advisor ID, at </w:t>
      </w:r>
      <w:r>
        <w:rPr>
          <w:rFonts w:ascii="Arial" w:cs="Arial" w:eastAsia="Arial" w:hAnsi="Arial"/>
          <w:sz w:val="18"/>
          <w:szCs w:val="18"/>
          <w:u w:val="single" w:color="auto"/>
          <w:color w:val="auto"/>
        </w:rPr>
        <w:t>Daning.Novianti@mdlz.com</w:t>
      </w:r>
      <w:r>
        <w:rPr>
          <w:rFonts w:ascii="Arial" w:cs="Arial" w:eastAsia="Arial" w:hAnsi="Arial"/>
          <w:sz w:val="18"/>
          <w:szCs w:val="18"/>
          <w:color w:val="auto"/>
        </w:rPr>
        <w:t>. By accepting the Grant, the Employee</w:t>
      </w:r>
    </w:p>
    <w:p>
      <w:pPr>
        <w:spacing w:after="0" w:line="2" w:lineRule="exact"/>
        <w:rPr>
          <w:sz w:val="20"/>
          <w:szCs w:val="20"/>
          <w:color w:val="auto"/>
        </w:rPr>
      </w:pPr>
    </w:p>
    <w:p>
      <w:pPr>
        <w:ind w:right="100" w:firstLine="8"/>
        <w:spacing w:after="0" w:line="209" w:lineRule="auto"/>
        <w:tabs>
          <w:tab w:leader="none" w:pos="23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confirms having read and understood the documents relating to this Grant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5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b w:val="1"/>
          <w:bCs w:val="1"/>
          <w:i w:val="1"/>
          <w:iCs w:val="1"/>
          <w:color w:val="auto"/>
        </w:rPr>
        <w:t>Language Consent and Notification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Terjemahan dari dokumen-dokumen terkait dengan pemberian ini ke Bahasa Indonesia dapat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disediakan untuk anda berdasarkan permintaan kepada Daning Novianti, My Rewards Advisor ID, di </w:t>
      </w:r>
      <w:r>
        <w:rPr>
          <w:rFonts w:ascii="Arial" w:cs="Arial" w:eastAsia="Arial" w:hAnsi="Arial"/>
          <w:sz w:val="18"/>
          <w:szCs w:val="18"/>
          <w:u w:val="single" w:color="auto"/>
          <w:color w:val="auto"/>
        </w:rPr>
        <w:t>Daning.Novianti@mdlz.com</w:t>
      </w:r>
      <w:r>
        <w:rPr>
          <w:rFonts w:ascii="Arial" w:cs="Arial" w:eastAsia="Arial" w:hAnsi="Arial"/>
          <w:sz w:val="18"/>
          <w:szCs w:val="18"/>
          <w:color w:val="auto"/>
        </w:rPr>
        <w:t>.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05" w:right="339" w:bottom="1440" w:gutter="0" w:footer="0" w:header="0"/>
        </w:sectPr>
      </w:pPr>
    </w:p>
    <w:bookmarkStart w:id="175" w:name="page176"/>
    <w:bookmarkEnd w:id="175"/>
    <w:p>
      <w:pPr>
        <w:ind w:right="6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58" w:lineRule="exact"/>
        <w:rPr>
          <w:sz w:val="20"/>
          <w:szCs w:val="20"/>
          <w:color w:val="auto"/>
        </w:rPr>
      </w:pPr>
    </w:p>
    <w:p>
      <w:pPr>
        <w:ind w:right="80"/>
        <w:spacing w:after="0" w:line="210" w:lineRule="auto"/>
        <w:rPr>
          <w:sz w:val="20"/>
          <w:szCs w:val="20"/>
          <w:color w:val="auto"/>
        </w:rPr>
      </w:pPr>
      <w:r>
        <w:rPr>
          <w:rFonts w:ascii="Arial" w:cs="Arial" w:eastAsia="Arial" w:hAnsi="Arial"/>
          <w:sz w:val="20"/>
          <w:szCs w:val="20"/>
          <w:color w:val="auto"/>
        </w:rPr>
        <w:t>In addition, if the Employee remits funds into Indonesia, the Indonesian bank through which the transaction is made will submit a report on the transaction to the Bank of Indonesia for statistical reporting purposes. For transactions of US $10,000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spacing w:after="0" w:line="149" w:lineRule="exact"/>
        <w:rPr>
          <w:sz w:val="20"/>
          <w:szCs w:val="20"/>
          <w:color w:val="auto"/>
        </w:rPr>
      </w:pPr>
    </w:p>
    <w:p>
      <w:pPr>
        <w:ind w:right="420"/>
        <w:spacing w:after="0" w:line="249"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Indonesian residents have the obligation to report worldwide assets (including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and shares of Common Stock acquired under the Plan) in their annual individual income tax return.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181"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56" w:lineRule="exact"/>
        <w:rPr>
          <w:sz w:val="20"/>
          <w:szCs w:val="20"/>
          <w:color w:val="auto"/>
        </w:rPr>
      </w:pPr>
    </w:p>
    <w:p>
      <w:pPr>
        <w:spacing w:after="0" w:line="21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20"/>
        <w:spacing w:after="0" w:line="208"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Employee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must notify the Irish subsidiary or affiliate in writing if (1) the Employee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ISRAEL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399" w:right="339" w:bottom="1440" w:gutter="0" w:footer="0" w:header="0"/>
        </w:sectPr>
      </w:pPr>
    </w:p>
    <w:bookmarkStart w:id="176" w:name="page177"/>
    <w:bookmarkEnd w:id="176"/>
    <w:p>
      <w:pPr>
        <w:ind w:right="200"/>
        <w:spacing w:after="0" w:line="218" w:lineRule="auto"/>
        <w:rPr>
          <w:sz w:val="20"/>
          <w:szCs w:val="20"/>
          <w:color w:val="auto"/>
        </w:rPr>
      </w:pPr>
      <w:r>
        <w:rPr>
          <w:rFonts w:ascii="Arial" w:cs="Arial" w:eastAsia="Arial" w:hAnsi="Arial"/>
          <w:sz w:val="19"/>
          <w:szCs w:val="19"/>
          <w:b w:val="1"/>
          <w:bCs w:val="1"/>
          <w:color w:val="auto"/>
        </w:rPr>
        <w:t xml:space="preserve">Immediate Sale Restriction. </w:t>
      </w:r>
      <w:r>
        <w:rPr>
          <w:rFonts w:ascii="Arial" w:cs="Arial" w:eastAsia="Arial" w:hAnsi="Arial"/>
          <w:sz w:val="19"/>
          <w:szCs w:val="19"/>
          <w:color w:val="auto"/>
        </w:rPr>
        <w:t>As a condition of the grant of Deferred Stock Units, the Employee agrees to the immediate sale of any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issued to Participant upon payment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of Common Stock. Upon any such sale of the shares, the proceeds, less any Tax-Related Items and broker’s fees or commissions, will be remitted to the Employee. The Company reserves the right to allow the Employee to hold shares of Common Stock depending on the development of local law.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does not constitute a public offering under the Securities Law, 1968.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32"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accepting the grant of Deferred Stock Units, the Employee acknowledges that he or she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and the Agreement and has reviewed the Plan and the Agreement, including this Appendix A, in their entirety and fully understands and accepts all provisions of the Plan and the Agreement, including this Appendix A.</w:t>
      </w:r>
    </w:p>
    <w:p>
      <w:pPr>
        <w:spacing w:after="0" w:line="155" w:lineRule="exact"/>
        <w:rPr>
          <w:sz w:val="20"/>
          <w:szCs w:val="20"/>
          <w:color w:val="auto"/>
        </w:rPr>
      </w:pPr>
    </w:p>
    <w:p>
      <w:pPr>
        <w:ind w:right="20"/>
        <w:spacing w:after="0" w:line="205" w:lineRule="auto"/>
        <w:rPr>
          <w:sz w:val="20"/>
          <w:szCs w:val="20"/>
          <w:color w:val="auto"/>
        </w:rPr>
      </w:pPr>
      <w:r>
        <w:rPr>
          <w:rFonts w:ascii="Arial" w:cs="Arial" w:eastAsia="Arial" w:hAnsi="Arial"/>
          <w:sz w:val="20"/>
          <w:szCs w:val="20"/>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are beneficial owners of the investment pursuant to Italian money laundering provisions.</w:t>
      </w:r>
    </w:p>
    <w:p>
      <w:pPr>
        <w:spacing w:after="0" w:line="152" w:lineRule="exact"/>
        <w:rPr>
          <w:sz w:val="20"/>
          <w:szCs w:val="20"/>
          <w:color w:val="auto"/>
        </w:rPr>
      </w:pPr>
    </w:p>
    <w:p>
      <w:pPr>
        <w:ind w:right="20"/>
        <w:spacing w:after="0" w:line="211"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399" w:right="339" w:bottom="1440" w:gutter="0" w:footer="0" w:header="0"/>
        </w:sectPr>
      </w:pPr>
    </w:p>
    <w:bookmarkStart w:id="177" w:name="page178"/>
    <w:bookmarkEnd w:id="177"/>
    <w:p>
      <w:pPr>
        <w:ind w:right="120"/>
        <w:spacing w:after="0" w:line="23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will be required to report details of any assets held outside Japan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KAZAKHSTAN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80"/>
        <w:spacing w:after="0" w:line="247" w:lineRule="auto"/>
        <w:rPr>
          <w:sz w:val="20"/>
          <w:szCs w:val="20"/>
          <w:color w:val="auto"/>
        </w:rPr>
      </w:pPr>
      <w:r>
        <w:rPr>
          <w:rFonts w:ascii="Arial" w:cs="Arial" w:eastAsia="Arial" w:hAnsi="Arial"/>
          <w:sz w:val="18"/>
          <w:szCs w:val="18"/>
          <w:b w:val="1"/>
          <w:bCs w:val="1"/>
          <w:color w:val="auto"/>
        </w:rPr>
        <w:t>Securities Law Notification</w:t>
      </w:r>
      <w:r>
        <w:rPr>
          <w:rFonts w:ascii="Arial" w:cs="Arial" w:eastAsia="Arial" w:hAnsi="Arial"/>
          <w:sz w:val="18"/>
          <w:szCs w:val="18"/>
          <w:color w:val="auto"/>
        </w:rPr>
        <w:t>. This offer is addressed only to certain eligible employees in the form of the shares of Common Stock to be</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Company. Neither the Plan nor the Agreement has been approved, nor do they need to be approved, by the National Bank of Kazakhstan. This offer is intended only for the original recipient and is not for general circulation in the Republic of Kazakhstan.</w:t>
      </w:r>
    </w:p>
    <w:p>
      <w:pPr>
        <w:spacing w:after="0" w:line="171" w:lineRule="exact"/>
        <w:rPr>
          <w:sz w:val="20"/>
          <w:szCs w:val="20"/>
          <w:color w:val="auto"/>
        </w:rPr>
      </w:pPr>
    </w:p>
    <w:p>
      <w:pPr>
        <w:ind w:right="300"/>
        <w:spacing w:after="0" w:line="249"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Residents of Kazakhstan may be required to notify the National Bank of Kazakhstan when they acquire</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under the Plan if the value of such shares of Common Stock exceeds US $100,000.</w:t>
      </w:r>
    </w:p>
    <w:p>
      <w:pPr>
        <w:spacing w:after="0" w:line="174" w:lineRule="exact"/>
        <w:rPr>
          <w:sz w:val="20"/>
          <w:szCs w:val="20"/>
          <w:color w:val="auto"/>
        </w:rPr>
      </w:pPr>
    </w:p>
    <w:p>
      <w:pPr>
        <w:ind w:right="40"/>
        <w:spacing w:after="0" w:line="213" w:lineRule="auto"/>
        <w:rPr>
          <w:sz w:val="20"/>
          <w:szCs w:val="20"/>
          <w:color w:val="auto"/>
        </w:rPr>
      </w:pPr>
      <w:r>
        <w:rPr>
          <w:rFonts w:ascii="Arial" w:cs="Arial" w:eastAsia="Arial" w:hAnsi="Arial"/>
          <w:sz w:val="20"/>
          <w:szCs w:val="20"/>
          <w:color w:val="auto"/>
        </w:rPr>
        <w:t>Please note that the exchange control regulations in Kazakhstan are subject to change. The Employee should consult with their personal legal advisor regarding any exchange control obligations that the Employee may have prior to vesting in the Deferred Stock Units or receiving proceeds from the sale of shares of Common Stock acquired under the Plan. The Employee is responsible for ensuring compliance with all exchange control laws in Kazakhstan.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Employee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first vesting in the Deferred Stock Units. The registration should be completed through the online portal “I TAX” and is a one-time only registration. The Employee is solely responsible for ensuring compliance with all registration requirements in Kenya.</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320" w:top="1399" w:right="359" w:bottom="1440" w:gutter="0" w:footer="0" w:header="0"/>
        </w:sectPr>
      </w:pPr>
    </w:p>
    <w:bookmarkStart w:id="178" w:name="page179"/>
    <w:bookmarkEnd w:id="1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9" w:name="page180"/>
    <w:bookmarkEnd w:id="179"/>
    <w:p>
      <w:pPr>
        <w:spacing w:after="0" w:line="193" w:lineRule="auto"/>
        <w:framePr w:w="1620" w:h="176" w:wrap="auto" w:vAnchor="page" w:hAnchor="page" w:x="280" w:y="16393"/>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NOTIFICATIONS</w:t>
      </w:r>
    </w:p>
    <w:tbl>
      <w:tblPr>
        <w:tblLayout w:type="fixed"/>
        <w:tblInd w:w="0" w:type="dxa"/>
        <w:tblCellMar>
          <w:top w:w="0" w:type="dxa"/>
          <w:left w:w="0" w:type="dxa"/>
          <w:bottom w:w="0" w:type="dxa"/>
          <w:right w:w="0" w:type="dxa"/>
        </w:tblCellMar>
      </w:tblPr>
      <w:tr>
        <w:trPr>
          <w:trHeight w:val="20"/>
        </w:trPr>
        <w:tc>
          <w:tcPr>
            <w:tcW w:w="2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gridSpan w:val="5"/>
          </w:tcPr>
          <w:p>
            <w:pPr>
              <w:ind w:left="60"/>
              <w:spacing w:after="0" w:line="183" w:lineRule="exact"/>
              <w:rPr>
                <w:sz w:val="20"/>
                <w:szCs w:val="20"/>
                <w:color w:val="auto"/>
              </w:rPr>
            </w:pPr>
            <w:r>
              <w:rPr>
                <w:rFonts w:ascii="Arial" w:cs="Arial" w:eastAsia="Arial" w:hAnsi="Arial"/>
                <w:sz w:val="20"/>
                <w:szCs w:val="20"/>
                <w:b w:val="1"/>
                <w:bCs w:val="1"/>
                <w:i w:val="1"/>
                <w:iCs w:val="1"/>
                <w:color w:val="auto"/>
                <w:w w:val="95"/>
              </w:rPr>
              <w:t>The Employee explicitly and unambiguously consents to the</w:t>
            </w:r>
          </w:p>
        </w:tc>
        <w:tc>
          <w:tcPr>
            <w:tcW w:w="5660" w:type="dxa"/>
            <w:vAlign w:val="bottom"/>
            <w:gridSpan w:val="6"/>
          </w:tcPr>
          <w:p>
            <w:pPr>
              <w:ind w:left="100"/>
              <w:spacing w:after="0" w:line="183" w:lineRule="exact"/>
              <w:rPr>
                <w:sz w:val="20"/>
                <w:szCs w:val="20"/>
                <w:color w:val="auto"/>
              </w:rPr>
            </w:pPr>
            <w:r>
              <w:rPr>
                <w:rFonts w:ascii="Arial" w:cs="Arial" w:eastAsia="Arial" w:hAnsi="Arial"/>
                <w:sz w:val="20"/>
                <w:szCs w:val="20"/>
                <w:b w:val="1"/>
                <w:bCs w:val="1"/>
                <w:i w:val="1"/>
                <w:iCs w:val="1"/>
                <w:color w:val="auto"/>
                <w:w w:val="89"/>
              </w:rPr>
              <w:t>Pekerja dengan ini secara eksplisit dan tanpa sebarang keraguan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3"/>
              </w:rPr>
              <w:t>collection, use and transfer, in electronic or other form, of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9"/>
              </w:rPr>
              <w:t>mengizinkan pengumpulan, penggunaan dan pemindahan, dalam</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Employee’s personal data as described in this Agreement and any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bentuk elektronik atau lain-lain, data peribadi Pekerja seperti yang</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other Deferred Stock Unit grant materials (“Data”) by and among,</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diterangkan dalam Perjanjian ini serta mana-mana bahan-bahan</w:t>
            </w:r>
          </w:p>
        </w:tc>
        <w:tc>
          <w:tcPr>
            <w:tcW w:w="0" w:type="dxa"/>
            <w:vAlign w:val="bottom"/>
          </w:tcPr>
          <w:p>
            <w:pPr>
              <w:spacing w:after="0"/>
              <w:rPr>
                <w:sz w:val="1"/>
                <w:szCs w:val="1"/>
                <w:color w:val="auto"/>
              </w:rPr>
            </w:pPr>
          </w:p>
        </w:tc>
      </w:tr>
      <w:tr>
        <w:trPr>
          <w:trHeight w:val="27"/>
        </w:trPr>
        <w:tc>
          <w:tcPr>
            <w:tcW w:w="3700" w:type="dxa"/>
            <w:vAlign w:val="bottom"/>
            <w:gridSpan w:val="3"/>
            <w:vMerge w:val="restart"/>
          </w:tcPr>
          <w:p>
            <w:pPr>
              <w:ind w:left="60"/>
              <w:spacing w:after="0" w:line="189" w:lineRule="exact"/>
              <w:rPr>
                <w:sz w:val="20"/>
                <w:szCs w:val="20"/>
                <w:color w:val="auto"/>
              </w:rPr>
            </w:pPr>
            <w:r>
              <w:rPr>
                <w:rFonts w:ascii="Arial" w:cs="Arial" w:eastAsia="Arial" w:hAnsi="Arial"/>
                <w:sz w:val="20"/>
                <w:szCs w:val="20"/>
                <w:b w:val="1"/>
                <w:bCs w:val="1"/>
                <w:i w:val="1"/>
                <w:iCs w:val="1"/>
                <w:color w:val="auto"/>
                <w:w w:val="82"/>
              </w:rPr>
              <w:t>as applicable, the Employer and the Mondelēz</w:t>
            </w:r>
          </w:p>
        </w:tc>
        <w:tc>
          <w:tcPr>
            <w:tcW w:w="400" w:type="dxa"/>
            <w:vAlign w:val="bottom"/>
            <w:shd w:val="clear" w:color="auto" w:fill="000000"/>
          </w:tcPr>
          <w:p>
            <w:pPr>
              <w:spacing w:after="0"/>
              <w:rPr>
                <w:sz w:val="2"/>
                <w:szCs w:val="2"/>
                <w:color w:val="auto"/>
              </w:rPr>
            </w:pPr>
          </w:p>
        </w:tc>
        <w:tc>
          <w:tcPr>
            <w:tcW w:w="1440" w:type="dxa"/>
            <w:vAlign w:val="bottom"/>
          </w:tcPr>
          <w:p>
            <w:pPr>
              <w:spacing w:after="0"/>
              <w:rPr>
                <w:sz w:val="2"/>
                <w:szCs w:val="2"/>
                <w:color w:val="auto"/>
              </w:rPr>
            </w:pPr>
          </w:p>
        </w:tc>
        <w:tc>
          <w:tcPr>
            <w:tcW w:w="5660" w:type="dxa"/>
            <w:vAlign w:val="bottom"/>
            <w:gridSpan w:val="6"/>
            <w:vMerge w:val="restart"/>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geran Unit Saham Tertunda (“Data”) oleh dan di antara, seperti</w:t>
            </w:r>
          </w:p>
        </w:tc>
        <w:tc>
          <w:tcPr>
            <w:tcW w:w="0" w:type="dxa"/>
            <w:vAlign w:val="bottom"/>
          </w:tcPr>
          <w:p>
            <w:pPr>
              <w:spacing w:after="0" w:line="20" w:lineRule="exact"/>
              <w:rPr>
                <w:sz w:val="1"/>
                <w:szCs w:val="1"/>
                <w:color w:val="auto"/>
              </w:rPr>
            </w:pPr>
          </w:p>
        </w:tc>
      </w:tr>
      <w:tr>
        <w:trPr>
          <w:trHeight w:val="169"/>
        </w:trPr>
        <w:tc>
          <w:tcPr>
            <w:tcW w:w="3700" w:type="dxa"/>
            <w:vAlign w:val="bottom"/>
            <w:gridSpan w:val="3"/>
            <w:vMerge w:val="continue"/>
          </w:tcPr>
          <w:p>
            <w:pPr>
              <w:spacing w:after="0"/>
              <w:rPr>
                <w:sz w:val="14"/>
                <w:szCs w:val="14"/>
                <w:color w:val="auto"/>
              </w:rPr>
            </w:pPr>
          </w:p>
        </w:tc>
        <w:tc>
          <w:tcPr>
            <w:tcW w:w="1840" w:type="dxa"/>
            <w:vAlign w:val="bottom"/>
            <w:gridSpan w:val="2"/>
          </w:tcPr>
          <w:p>
            <w:pPr>
              <w:ind w:left="180"/>
              <w:spacing w:after="0" w:line="162" w:lineRule="exact"/>
              <w:rPr>
                <w:sz w:val="20"/>
                <w:szCs w:val="20"/>
                <w:color w:val="auto"/>
              </w:rPr>
            </w:pPr>
            <w:r>
              <w:rPr>
                <w:rFonts w:ascii="Arial" w:cs="Arial" w:eastAsia="Arial" w:hAnsi="Arial"/>
                <w:sz w:val="18"/>
                <w:szCs w:val="18"/>
                <w:b w:val="1"/>
                <w:bCs w:val="1"/>
                <w:i w:val="1"/>
                <w:iCs w:val="1"/>
                <w:color w:val="auto"/>
              </w:rPr>
              <w:t>Group for the</w:t>
            </w:r>
          </w:p>
        </w:tc>
        <w:tc>
          <w:tcPr>
            <w:tcW w:w="56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gridSpan w:val="5"/>
          </w:tcPr>
          <w:p>
            <w:pPr>
              <w:ind w:left="60"/>
              <w:spacing w:after="0" w:line="162" w:lineRule="exact"/>
              <w:rPr>
                <w:sz w:val="20"/>
                <w:szCs w:val="20"/>
                <w:color w:val="auto"/>
              </w:rPr>
            </w:pPr>
            <w:r>
              <w:rPr>
                <w:rFonts w:ascii="Arial" w:cs="Arial" w:eastAsia="Arial" w:hAnsi="Arial"/>
                <w:sz w:val="18"/>
                <w:szCs w:val="18"/>
                <w:b w:val="1"/>
                <w:bCs w:val="1"/>
                <w:i w:val="1"/>
                <w:iCs w:val="1"/>
                <w:color w:val="auto"/>
                <w:w w:val="98"/>
              </w:rPr>
              <w:t>exclusive purpose of implementing, administering and managing</w:t>
            </w:r>
          </w:p>
        </w:tc>
        <w:tc>
          <w:tcPr>
            <w:tcW w:w="2720" w:type="dxa"/>
            <w:vAlign w:val="bottom"/>
            <w:gridSpan w:val="2"/>
          </w:tcPr>
          <w:p>
            <w:pPr>
              <w:ind w:left="100"/>
              <w:spacing w:after="0" w:line="162" w:lineRule="exact"/>
              <w:rPr>
                <w:sz w:val="20"/>
                <w:szCs w:val="20"/>
                <w:color w:val="auto"/>
              </w:rPr>
            </w:pPr>
            <w:r>
              <w:rPr>
                <w:rFonts w:ascii="Arial" w:cs="Arial" w:eastAsia="Arial" w:hAnsi="Arial"/>
                <w:sz w:val="18"/>
                <w:szCs w:val="18"/>
                <w:b w:val="1"/>
                <w:bCs w:val="1"/>
                <w:i w:val="1"/>
                <w:iCs w:val="1"/>
                <w:color w:val="auto"/>
              </w:rPr>
              <w:t>mana yang terpakai, Majikan</w:t>
            </w:r>
          </w:p>
        </w:tc>
        <w:tc>
          <w:tcPr>
            <w:tcW w:w="400" w:type="dxa"/>
            <w:vAlign w:val="bottom"/>
            <w:tcBorders>
              <w:top w:val="single" w:sz="8" w:color="auto"/>
            </w:tcBorders>
          </w:tcPr>
          <w:p>
            <w:pPr>
              <w:ind w:left="60"/>
              <w:spacing w:after="0" w:line="162" w:lineRule="exact"/>
              <w:rPr>
                <w:sz w:val="20"/>
                <w:szCs w:val="20"/>
                <w:color w:val="auto"/>
              </w:rPr>
            </w:pPr>
            <w:r>
              <w:rPr>
                <w:rFonts w:ascii="Arial" w:cs="Arial" w:eastAsia="Arial" w:hAnsi="Arial"/>
                <w:sz w:val="18"/>
                <w:szCs w:val="18"/>
                <w:b w:val="1"/>
                <w:bCs w:val="1"/>
                <w:i w:val="1"/>
                <w:iCs w:val="1"/>
                <w:color w:val="auto"/>
                <w:w w:val="74"/>
              </w:rPr>
              <w:t>serta</w:t>
            </w:r>
          </w:p>
        </w:tc>
        <w:tc>
          <w:tcPr>
            <w:tcW w:w="2540" w:type="dxa"/>
            <w:vAlign w:val="bottom"/>
            <w:gridSpan w:val="3"/>
          </w:tcPr>
          <w:p>
            <w:pPr>
              <w:ind w:left="140"/>
              <w:spacing w:after="0" w:line="162" w:lineRule="exact"/>
              <w:rPr>
                <w:sz w:val="20"/>
                <w:szCs w:val="20"/>
                <w:color w:val="auto"/>
              </w:rPr>
            </w:pPr>
            <w:r>
              <w:rPr>
                <w:rFonts w:ascii="Arial" w:cs="Arial" w:eastAsia="Arial" w:hAnsi="Arial"/>
                <w:sz w:val="18"/>
                <w:szCs w:val="18"/>
                <w:b w:val="1"/>
                <w:bCs w:val="1"/>
                <w:i w:val="1"/>
                <w:iCs w:val="1"/>
                <w:color w:val="auto"/>
              </w:rPr>
              <w:t>Kumpulan Mondelez untuk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the Employee’s participation in the Plan. The Data is supplied by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tujuan ekslusif bagi melaksanakan, mentadbir dan menguruskan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5"/>
              </w:rPr>
              <w:t>the Employer and also by the Employee through information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penyertaan Pekerja dalam Pelan. Data telah dibekalkan oleh pihak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collected in connection with the Agreement and the Plan.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9"/>
              </w:rPr>
              <w:t>Majikan dan juga oleh Pekerja melalui informasi yang telah</w:t>
            </w:r>
          </w:p>
        </w:tc>
        <w:tc>
          <w:tcPr>
            <w:tcW w:w="0" w:type="dxa"/>
            <w:vAlign w:val="bottom"/>
          </w:tcPr>
          <w:p>
            <w:pPr>
              <w:spacing w:after="0"/>
              <w:rPr>
                <w:sz w:val="1"/>
                <w:szCs w:val="1"/>
                <w:color w:val="auto"/>
              </w:rPr>
            </w:pPr>
          </w:p>
        </w:tc>
      </w:tr>
      <w:tr>
        <w:trPr>
          <w:trHeight w:val="250"/>
        </w:trPr>
        <w:tc>
          <w:tcPr>
            <w:tcW w:w="5540" w:type="dxa"/>
            <w:vAlign w:val="bottom"/>
            <w:gridSpan w:val="5"/>
            <w:vMerge w:val="restart"/>
          </w:tcPr>
          <w:p>
            <w:pPr>
              <w:ind w:left="60"/>
              <w:spacing w:after="0"/>
              <w:rPr>
                <w:sz w:val="20"/>
                <w:szCs w:val="20"/>
                <w:color w:val="auto"/>
              </w:rPr>
            </w:pPr>
            <w:r>
              <w:rPr>
                <w:rFonts w:ascii="Arial" w:cs="Arial" w:eastAsia="Arial" w:hAnsi="Arial"/>
                <w:sz w:val="20"/>
                <w:szCs w:val="20"/>
                <w:b w:val="1"/>
                <w:bCs w:val="1"/>
                <w:i w:val="1"/>
                <w:iCs w:val="1"/>
                <w:color w:val="auto"/>
                <w:w w:val="89"/>
              </w:rPr>
              <w:t>The Employee understands that the Company and the Employer</w:t>
            </w:r>
          </w:p>
        </w:tc>
        <w:tc>
          <w:tcPr>
            <w:tcW w:w="5660" w:type="dxa"/>
            <w:vAlign w:val="bottom"/>
            <w:gridSpan w:val="6"/>
          </w:tcPr>
          <w:p>
            <w:pPr>
              <w:ind w:left="100"/>
              <w:spacing w:after="0"/>
              <w:rPr>
                <w:sz w:val="20"/>
                <w:szCs w:val="20"/>
                <w:color w:val="auto"/>
              </w:rPr>
            </w:pPr>
            <w:r>
              <w:rPr>
                <w:rFonts w:ascii="Arial" w:cs="Arial" w:eastAsia="Arial" w:hAnsi="Arial"/>
                <w:sz w:val="20"/>
                <w:szCs w:val="20"/>
                <w:b w:val="1"/>
                <w:bCs w:val="1"/>
                <w:i w:val="1"/>
                <w:iCs w:val="1"/>
                <w:color w:val="auto"/>
              </w:rPr>
              <w:t>dikumpul berkaitan dengan Perjanjian dan Pelan.</w:t>
            </w:r>
          </w:p>
        </w:tc>
        <w:tc>
          <w:tcPr>
            <w:tcW w:w="0" w:type="dxa"/>
            <w:vAlign w:val="bottom"/>
          </w:tcPr>
          <w:p>
            <w:pPr>
              <w:spacing w:after="0"/>
              <w:rPr>
                <w:sz w:val="1"/>
                <w:szCs w:val="1"/>
                <w:color w:val="auto"/>
              </w:rPr>
            </w:pPr>
          </w:p>
        </w:tc>
      </w:tr>
      <w:tr>
        <w:trPr>
          <w:trHeight w:val="155"/>
        </w:trPr>
        <w:tc>
          <w:tcPr>
            <w:tcW w:w="5540" w:type="dxa"/>
            <w:vAlign w:val="bottom"/>
            <w:gridSpan w:val="5"/>
            <w:vMerge w:val="continue"/>
          </w:tcPr>
          <w:p>
            <w:pPr>
              <w:spacing w:after="0"/>
              <w:rPr>
                <w:sz w:val="13"/>
                <w:szCs w:val="13"/>
                <w:color w:val="auto"/>
              </w:rPr>
            </w:pPr>
          </w:p>
        </w:tc>
        <w:tc>
          <w:tcPr>
            <w:tcW w:w="5660" w:type="dxa"/>
            <w:vAlign w:val="bottom"/>
            <w:gridSpan w:val="6"/>
            <w:vMerge w:val="restart"/>
          </w:tcPr>
          <w:p>
            <w:pPr>
              <w:ind w:left="100"/>
              <w:spacing w:after="0"/>
              <w:rPr>
                <w:sz w:val="20"/>
                <w:szCs w:val="20"/>
                <w:color w:val="auto"/>
              </w:rPr>
            </w:pPr>
            <w:r>
              <w:rPr>
                <w:rFonts w:ascii="Arial" w:cs="Arial" w:eastAsia="Arial" w:hAnsi="Arial"/>
                <w:sz w:val="20"/>
                <w:szCs w:val="20"/>
                <w:b w:val="1"/>
                <w:bCs w:val="1"/>
                <w:i w:val="1"/>
                <w:iCs w:val="1"/>
                <w:color w:val="auto"/>
                <w:w w:val="94"/>
              </w:rPr>
              <w:t>Pekerja  memahami  bahawa  Syarikat  dan  Majikan  mungkin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6"/>
              </w:rPr>
              <w:t>may hold certain personal information about the Employee,</w:t>
            </w:r>
          </w:p>
        </w:tc>
        <w:tc>
          <w:tcPr>
            <w:tcW w:w="56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including, but not limited to, the Employee’s name, home address,</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memegang maklumat peribadi tertentu tentang Pekerja, termasuk,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9"/>
              </w:rPr>
              <w:t>email address and telephone number, date of birth, social</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7"/>
              </w:rPr>
              <w:t>tetapi tidak terhad kepada, nama Pekerja, alamat rumah dan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insurance number, passport or other identification number, salary,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9"/>
              </w:rPr>
              <w:t>nombor telefon, almat emal, tarikh lahir, insurans sosial, nombor</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9"/>
              </w:rPr>
              <w:t>nationality, job title, any shares of stock or directorships held in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pasport atau pengenalan lain, gaji, kewarganegaraan, jawatan,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4"/>
              </w:rPr>
              <w:t>the Company, details of all Deferred Stock Units or any other</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apa-apa syer dalam Saham atau jawatan pengarah yang dipegang</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4"/>
              </w:rPr>
              <w:t>entitlement to shares of stock awarded, canceled, exercised,</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9"/>
              </w:rPr>
              <w:t>dalam Syarikat, maklumat berkaitan semua Unit Saham Tertunda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9"/>
              </w:rPr>
              <w:t>vested, unvested or outstanding in the Employee’s favor, for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atau  apa-apa  kelayakan  lain  untuk  syer  dalam  saham  yang</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exclusive purpose of implementing, administering and managing</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dianugerahkan,  dibatalkan,  dilaksanakan,  terletak  hak,  tidak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the Plan.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diletak hak ataupun yang belum dijelaskan bagi faedah Pekerja,</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5"/>
              </w:rPr>
              <w:t>untuk  tujuan  eksklusif  bagi  melaksanakan,  mentadbir  dan</w:t>
            </w:r>
          </w:p>
        </w:tc>
        <w:tc>
          <w:tcPr>
            <w:tcW w:w="0" w:type="dxa"/>
            <w:vAlign w:val="bottom"/>
          </w:tcPr>
          <w:p>
            <w:pPr>
              <w:spacing w:after="0"/>
              <w:rPr>
                <w:sz w:val="1"/>
                <w:szCs w:val="1"/>
                <w:color w:val="auto"/>
              </w:rPr>
            </w:pPr>
          </w:p>
        </w:tc>
      </w:tr>
      <w:tr>
        <w:trPr>
          <w:trHeight w:val="216"/>
        </w:trPr>
        <w:tc>
          <w:tcPr>
            <w:tcW w:w="5540" w:type="dxa"/>
            <w:vAlign w:val="bottom"/>
            <w:gridSpan w:val="5"/>
          </w:tcPr>
          <w:p>
            <w:pPr>
              <w:ind w:left="60"/>
              <w:spacing w:after="0" w:line="216" w:lineRule="exact"/>
              <w:rPr>
                <w:sz w:val="20"/>
                <w:szCs w:val="20"/>
                <w:color w:val="auto"/>
              </w:rPr>
            </w:pPr>
            <w:r>
              <w:rPr>
                <w:rFonts w:ascii="Arial" w:cs="Arial" w:eastAsia="Arial" w:hAnsi="Arial"/>
                <w:sz w:val="20"/>
                <w:szCs w:val="20"/>
                <w:b w:val="1"/>
                <w:bCs w:val="1"/>
                <w:i w:val="1"/>
                <w:iCs w:val="1"/>
                <w:color w:val="auto"/>
                <w:w w:val="90"/>
              </w:rPr>
              <w:t>The Employee understands that Data will be transferred to UBS</w:t>
            </w:r>
          </w:p>
        </w:tc>
        <w:tc>
          <w:tcPr>
            <w:tcW w:w="5660" w:type="dxa"/>
            <w:vAlign w:val="bottom"/>
            <w:gridSpan w:val="6"/>
          </w:tcPr>
          <w:p>
            <w:pPr>
              <w:ind w:left="100"/>
              <w:spacing w:after="0" w:line="216" w:lineRule="exact"/>
              <w:rPr>
                <w:sz w:val="20"/>
                <w:szCs w:val="20"/>
                <w:color w:val="auto"/>
              </w:rPr>
            </w:pPr>
            <w:r>
              <w:rPr>
                <w:rFonts w:ascii="Arial" w:cs="Arial" w:eastAsia="Arial" w:hAnsi="Arial"/>
                <w:sz w:val="20"/>
                <w:szCs w:val="20"/>
                <w:b w:val="1"/>
                <w:bCs w:val="1"/>
                <w:i w:val="1"/>
                <w:iCs w:val="1"/>
                <w:color w:val="auto"/>
              </w:rPr>
              <w:t>menguruskan Pelan tersebut.</w:t>
            </w:r>
          </w:p>
        </w:tc>
        <w:tc>
          <w:tcPr>
            <w:tcW w:w="0" w:type="dxa"/>
            <w:vAlign w:val="bottom"/>
          </w:tcPr>
          <w:p>
            <w:pPr>
              <w:spacing w:after="0"/>
              <w:rPr>
                <w:sz w:val="1"/>
                <w:szCs w:val="1"/>
                <w:color w:val="auto"/>
              </w:rPr>
            </w:pPr>
          </w:p>
        </w:tc>
      </w:tr>
      <w:tr>
        <w:trPr>
          <w:trHeight w:val="196"/>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Financial Services, Inc. (“UBS”), or such other stock plan service</w:t>
            </w: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60"/>
              <w:spacing w:after="0" w:line="162" w:lineRule="exact"/>
              <w:rPr>
                <w:sz w:val="20"/>
                <w:szCs w:val="20"/>
                <w:color w:val="auto"/>
              </w:rPr>
            </w:pPr>
            <w:r>
              <w:rPr>
                <w:rFonts w:ascii="Arial" w:cs="Arial" w:eastAsia="Arial" w:hAnsi="Arial"/>
                <w:sz w:val="18"/>
                <w:szCs w:val="18"/>
                <w:b w:val="1"/>
                <w:bCs w:val="1"/>
                <w:i w:val="1"/>
                <w:iCs w:val="1"/>
                <w:color w:val="auto"/>
                <w:w w:val="88"/>
              </w:rPr>
              <w:t>provider as may be selected</w:t>
            </w:r>
          </w:p>
        </w:tc>
        <w:tc>
          <w:tcPr>
            <w:tcW w:w="400" w:type="dxa"/>
            <w:vAlign w:val="bottom"/>
            <w:tcBorders>
              <w:top w:val="single" w:sz="8" w:color="auto"/>
            </w:tcBorders>
          </w:tcPr>
          <w:p>
            <w:pPr>
              <w:ind w:left="120"/>
              <w:spacing w:after="0" w:line="162" w:lineRule="exact"/>
              <w:rPr>
                <w:sz w:val="20"/>
                <w:szCs w:val="20"/>
                <w:color w:val="auto"/>
              </w:rPr>
            </w:pPr>
            <w:r>
              <w:rPr>
                <w:rFonts w:ascii="Arial" w:cs="Arial" w:eastAsia="Arial" w:hAnsi="Arial"/>
                <w:sz w:val="18"/>
                <w:szCs w:val="18"/>
                <w:b w:val="1"/>
                <w:bCs w:val="1"/>
                <w:i w:val="1"/>
                <w:iCs w:val="1"/>
                <w:color w:val="auto"/>
              </w:rPr>
              <w:t>by</w:t>
            </w:r>
          </w:p>
        </w:tc>
        <w:tc>
          <w:tcPr>
            <w:tcW w:w="2920" w:type="dxa"/>
            <w:vAlign w:val="bottom"/>
            <w:gridSpan w:val="3"/>
          </w:tcPr>
          <w:p>
            <w:pPr>
              <w:spacing w:after="0" w:line="162" w:lineRule="exact"/>
              <w:rPr>
                <w:sz w:val="20"/>
                <w:szCs w:val="20"/>
                <w:color w:val="auto"/>
              </w:rPr>
            </w:pPr>
            <w:r>
              <w:rPr>
                <w:rFonts w:ascii="Arial" w:cs="Arial" w:eastAsia="Arial" w:hAnsi="Arial"/>
                <w:sz w:val="18"/>
                <w:szCs w:val="18"/>
                <w:b w:val="1"/>
                <w:bCs w:val="1"/>
                <w:i w:val="1"/>
                <w:iCs w:val="1"/>
                <w:color w:val="auto"/>
              </w:rPr>
              <w:t>the Company in the future, which</w:t>
            </w:r>
          </w:p>
        </w:tc>
        <w:tc>
          <w:tcPr>
            <w:tcW w:w="5660" w:type="dxa"/>
            <w:vAlign w:val="bottom"/>
            <w:gridSpan w:val="6"/>
          </w:tcPr>
          <w:p>
            <w:pPr>
              <w:ind w:left="100"/>
              <w:spacing w:after="0" w:line="162" w:lineRule="exact"/>
              <w:rPr>
                <w:sz w:val="20"/>
                <w:szCs w:val="20"/>
                <w:color w:val="auto"/>
              </w:rPr>
            </w:pPr>
            <w:r>
              <w:rPr>
                <w:rFonts w:ascii="Arial" w:cs="Arial" w:eastAsia="Arial" w:hAnsi="Arial"/>
                <w:sz w:val="18"/>
                <w:szCs w:val="18"/>
                <w:b w:val="1"/>
                <w:bCs w:val="1"/>
                <w:i w:val="1"/>
                <w:iCs w:val="1"/>
                <w:color w:val="auto"/>
              </w:rPr>
              <w:t>Pekerja memahami bahawa Data tersebut akan dipindahkan ke</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7"/>
              </w:rPr>
              <w:t>is assisting the Company with the implementation, administration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8"/>
              </w:rPr>
              <w:t>UBS   Financial   Services,   Inc.   (“UBS”)   atau   pembekal</w:t>
            </w:r>
          </w:p>
        </w:tc>
        <w:tc>
          <w:tcPr>
            <w:tcW w:w="0" w:type="dxa"/>
            <w:vAlign w:val="bottom"/>
          </w:tcPr>
          <w:p>
            <w:pPr>
              <w:spacing w:after="0"/>
              <w:rPr>
                <w:sz w:val="1"/>
                <w:szCs w:val="1"/>
                <w:color w:val="auto"/>
              </w:rPr>
            </w:pPr>
          </w:p>
        </w:tc>
      </w:tr>
      <w:tr>
        <w:trPr>
          <w:trHeight w:val="27"/>
        </w:trPr>
        <w:tc>
          <w:tcPr>
            <w:tcW w:w="5540" w:type="dxa"/>
            <w:vAlign w:val="bottom"/>
            <w:gridSpan w:val="5"/>
            <w:vMerge w:val="restart"/>
          </w:tcPr>
          <w:p>
            <w:pPr>
              <w:ind w:left="60"/>
              <w:spacing w:after="0" w:line="189" w:lineRule="exact"/>
              <w:rPr>
                <w:sz w:val="20"/>
                <w:szCs w:val="20"/>
                <w:color w:val="auto"/>
              </w:rPr>
            </w:pPr>
            <w:r>
              <w:rPr>
                <w:rFonts w:ascii="Arial" w:cs="Arial" w:eastAsia="Arial" w:hAnsi="Arial"/>
                <w:sz w:val="20"/>
                <w:szCs w:val="20"/>
                <w:b w:val="1"/>
                <w:bCs w:val="1"/>
                <w:i w:val="1"/>
                <w:iCs w:val="1"/>
                <w:color w:val="auto"/>
                <w:w w:val="93"/>
              </w:rPr>
              <w:t>and management of the Plan. The Employee understands that</w:t>
            </w:r>
          </w:p>
        </w:tc>
        <w:tc>
          <w:tcPr>
            <w:tcW w:w="3440" w:type="dxa"/>
            <w:vAlign w:val="bottom"/>
            <w:gridSpan w:val="4"/>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40" w:type="dxa"/>
            <w:vAlign w:val="bottom"/>
            <w:vMerge w:val="restart"/>
          </w:tcPr>
          <w:p>
            <w:pPr>
              <w:spacing w:after="0" w:line="189" w:lineRule="exact"/>
              <w:rPr>
                <w:sz w:val="20"/>
                <w:szCs w:val="20"/>
                <w:color w:val="auto"/>
              </w:rPr>
            </w:pPr>
            <w:r>
              <w:rPr>
                <w:rFonts w:ascii="Arial" w:cs="Arial" w:eastAsia="Arial" w:hAnsi="Arial"/>
                <w:sz w:val="20"/>
                <w:szCs w:val="20"/>
                <w:b w:val="1"/>
                <w:bCs w:val="1"/>
                <w:i w:val="1"/>
                <w:iCs w:val="1"/>
                <w:color w:val="auto"/>
                <w:w w:val="88"/>
              </w:rPr>
              <w:t>mungkin  dipilih  oleh</w:t>
            </w:r>
          </w:p>
        </w:tc>
        <w:tc>
          <w:tcPr>
            <w:tcW w:w="0" w:type="dxa"/>
            <w:vAlign w:val="bottom"/>
          </w:tcPr>
          <w:p>
            <w:pPr>
              <w:spacing w:after="0" w:line="20" w:lineRule="exact"/>
              <w:rPr>
                <w:sz w:val="1"/>
                <w:szCs w:val="1"/>
                <w:color w:val="auto"/>
              </w:rPr>
            </w:pPr>
          </w:p>
        </w:tc>
      </w:tr>
      <w:tr>
        <w:trPr>
          <w:trHeight w:val="162"/>
        </w:trPr>
        <w:tc>
          <w:tcPr>
            <w:tcW w:w="5540" w:type="dxa"/>
            <w:vAlign w:val="bottom"/>
            <w:gridSpan w:val="5"/>
            <w:vMerge w:val="continue"/>
          </w:tcPr>
          <w:p>
            <w:pPr>
              <w:spacing w:after="0"/>
              <w:rPr>
                <w:sz w:val="14"/>
                <w:szCs w:val="14"/>
                <w:color w:val="auto"/>
              </w:rPr>
            </w:pPr>
          </w:p>
        </w:tc>
        <w:tc>
          <w:tcPr>
            <w:tcW w:w="3820" w:type="dxa"/>
            <w:vAlign w:val="bottom"/>
            <w:gridSpan w:val="5"/>
          </w:tcPr>
          <w:p>
            <w:pPr>
              <w:ind w:left="100"/>
              <w:spacing w:after="0" w:line="162" w:lineRule="exact"/>
              <w:rPr>
                <w:sz w:val="20"/>
                <w:szCs w:val="20"/>
                <w:color w:val="auto"/>
              </w:rPr>
            </w:pPr>
            <w:r>
              <w:rPr>
                <w:rFonts w:ascii="Arial" w:cs="Arial" w:eastAsia="Arial" w:hAnsi="Arial"/>
                <w:sz w:val="18"/>
                <w:szCs w:val="18"/>
                <w:b w:val="1"/>
                <w:bCs w:val="1"/>
                <w:i w:val="1"/>
                <w:iCs w:val="1"/>
                <w:color w:val="auto"/>
              </w:rPr>
              <w:t>perkhidmatan  pelan  saham  lain  yang</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5"/>
              </w:rPr>
              <w:t>Data may also be transferred to the Company’s independent</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9"/>
              </w:rPr>
              <w:t>Syarikat  pada  masa  hadapan,  yang  membantu  Syarikat</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registered public accounting firm, PricewaterhouseCoopers LLP,</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melaksanakan,  mentadbir  dan  menguruskan  Pelan  tersebut.</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or such other public accounting firm that may be engaged by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Pekerja  memahami  bahawa  Data  juga  mungkin  dipindahkan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7"/>
              </w:rPr>
              <w:t>Company in the future. The Employee understands that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6"/>
              </w:rPr>
              <w:t>kepada  firma  akauntansi  awam  berdaftar  bebas  Syarikat,</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5"/>
              </w:rPr>
              <w:t>recipients of the Data may be located in the United States or</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PricewaterhouseCoopers LLP, atau firma akauntansi awam lain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elsewhere, and that the recipients’ country (e.g., the United States)</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yang  mungkin  digunakan  oleh  Syarikat  pada  masa  hadapan.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3"/>
              </w:rPr>
              <w:t>may have different data privacy laws and protections than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Pekerja turut memahami bahawa penerima Data mungkin berada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Employee’s country. The Employee understands that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di Amerika Syarikat atau negara lain dan negara asal penerima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Employee may request a list with the names and addresses of any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Data (contohnya, Amerika Syarikat) mungkin mempunyai undang-</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potential recipients of the Data by contacting the Employee’s local</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undang data peribadi serta perlindungan yang berbeza daripada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human resources representative at Mondelez Malaysia Sales Sdn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negara asal Pekerja. Pekerja memahami bahawa Pekerja boleh</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Bhd, Lot 9.01 Level 9, 1 First Avenue, 2A, Dataran Bandar</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meminta  satu  senarai  yang  mengandungi  nama  dan  alamat</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9"/>
              </w:rPr>
              <w:t>Utama, Bandar Utama Damasara, 47800 Petaling Jaya, Selangor,</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penerima-penerima Data yang berpotensi dengan menghubungi</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0"/>
              </w:rPr>
              <w:t>Malaysia. The Employee authorizes the Company, UBS and any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wakil sumber manusia tempatan Pekerja di Mondelez Malaysia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5"/>
              </w:rPr>
              <w:t>other possible recipients which may assist the Company (presently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6"/>
              </w:rPr>
              <w:t>Sales Sdn Bhd, Lot 9.01 Level 9, 1 First Avenue, 2A, Dataran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9"/>
              </w:rPr>
              <w:t>or in the future) with implementing, administering and managing</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4"/>
              </w:rPr>
              <w:t>Bandar Utama, Bandar Utama Damasara, 47800 Petaling Jaya,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the Plan to receive, possess, use, retain and transfer the Data, in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rPr>
              <w:t>Selangor, Malaysia.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1"/>
              </w:rPr>
              <w:t>electronic or other form, for the sole purpose of implementing,</w:t>
            </w: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5"/>
          </w:tcPr>
          <w:p>
            <w:pPr>
              <w:ind w:left="60"/>
              <w:spacing w:after="0" w:line="216" w:lineRule="exact"/>
              <w:rPr>
                <w:sz w:val="20"/>
                <w:szCs w:val="20"/>
                <w:color w:val="auto"/>
              </w:rPr>
            </w:pPr>
            <w:r>
              <w:rPr>
                <w:rFonts w:ascii="Arial" w:cs="Arial" w:eastAsia="Arial" w:hAnsi="Arial"/>
                <w:sz w:val="20"/>
                <w:szCs w:val="20"/>
                <w:b w:val="1"/>
                <w:bCs w:val="1"/>
                <w:i w:val="1"/>
                <w:iCs w:val="1"/>
                <w:color w:val="auto"/>
                <w:w w:val="89"/>
              </w:rPr>
              <w:t>administering and managing the Employee’s participation in the</w:t>
            </w:r>
          </w:p>
        </w:tc>
        <w:tc>
          <w:tcPr>
            <w:tcW w:w="5660" w:type="dxa"/>
            <w:vAlign w:val="bottom"/>
            <w:gridSpan w:val="6"/>
          </w:tcPr>
          <w:p>
            <w:pPr>
              <w:ind w:left="100"/>
              <w:spacing w:after="0" w:line="216" w:lineRule="exact"/>
              <w:rPr>
                <w:sz w:val="20"/>
                <w:szCs w:val="20"/>
                <w:color w:val="auto"/>
              </w:rPr>
            </w:pPr>
            <w:r>
              <w:rPr>
                <w:rFonts w:ascii="Arial" w:cs="Arial" w:eastAsia="Arial" w:hAnsi="Arial"/>
                <w:sz w:val="20"/>
                <w:szCs w:val="20"/>
                <w:b w:val="1"/>
                <w:bCs w:val="1"/>
                <w:i w:val="1"/>
                <w:iCs w:val="1"/>
                <w:color w:val="auto"/>
                <w:w w:val="91"/>
              </w:rPr>
              <w:t>Pekerjadengan ini membenarkan Syarikat, UBS dan mana-mana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1"/>
              </w:rPr>
              <w:t>Plan. The Employee understands that Data will be held only as</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pihak yang mungkin menerima Data yang mungkin membantu</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1"/>
              </w:rPr>
              <w:t>long as is necessary to implement, administer and manage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pihak  Syarikat  (sekarang  atau  pada  masa  hadapan)  dengan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Employee’s participation in the Plan. The Employee understands</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7"/>
              </w:rPr>
              <w:t>melaksanakan,  mentadbir  dan  menguruskan  Pelan  untuk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that the Employee may, at any time, view Data, request additional</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menerima, mempunya, mengguna, menyimpan serta memindah</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information about the storage and processing of Data, require any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Data tersebut, dalam bentuk elektronik atau lain-lain, bagi tujuan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5"/>
              </w:rPr>
              <w:t>necessary amendments to Data or refuse or withdraw the consents</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tunggal untuk melaksana, mentadbir dan mengurus penyertaan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5"/>
              </w:rPr>
              <w:t>herein, in any case without cost, by contacting in writing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6"/>
              </w:rPr>
              <w:t>Pekerja dalam Pelan. Pekerja memahami bahawa Data hanya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1"/>
              </w:rPr>
              <w:t>Employee’s local human resources representative. Further,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akan disimpan untuk tempoh yang diperlukan untuk melaksana,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0"/>
              </w:rPr>
              <w:t>Employee understands that he or she is providing the consents</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mentadbir,  dan  mengurus  penyertaan  Pekerja  dalam  Pelan.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5"/>
              </w:rPr>
              <w:t>herein on a purely voluntary basis. If the Employee does not</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2"/>
              </w:rPr>
              <w:t>Pekerja memahami bahawa Pekerja boleh, pada bila-bila masa,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7"/>
              </w:rPr>
              <w:t>consent, or if the Employee later seeks to revoke his or her</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7"/>
              </w:rPr>
              <w:t>melihat   Data,   meminta   maklumat   tambahan   mengenai</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consent, his or her employment status or service and career with</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9"/>
              </w:rPr>
              <w:t>penyimpanan dan pemprosesan Data, meminta bahawa pindaan-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the Employer will not be adversely affected; the only consequence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pindaan dilaksanakan ke atas Data atau menolak atau menarik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3"/>
              </w:rPr>
              <w:t>of refusing or withdrawing the Employee’s consent is that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5"/>
              </w:rPr>
              <w:t>balik  persetujuan  dalam  ini,  dalam  mana-mana  kes  tanpa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Company would not be able to grant the Employee Deferred Stock</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sebarang kos, dengan menghubungi secara bertulis wakil sumber</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96"/>
              </w:rPr>
              <w:t>Units or other equity awards or administer or maintain such</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manusia tempatannya. Selanjutnya, Pekerja memahami bahawa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awards. The Employee also understands that the Company has no</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9"/>
              </w:rPr>
              <w:t>Pekerja memberikan persetujuan di sini secara sukarela. Jikalau,</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7"/>
              </w:rPr>
              <w:t>obligation to substitute other forms of awards or compensation in</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Pekerja tidak bersetuju, atau sekiranaya Pekerja kemudiannya</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lieu of the Deferred Stock Units as a consequence of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7"/>
              </w:rPr>
              <w:t>membatalkan persetujuannya, status pekerjaan atau perkhidmatan</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Employee’s refusal or withdrawal of his or her consent.</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5"/>
              </w:rPr>
              <w:t>dan kerjaya Pekerja dengan Majikan tidak akan terjejas; satu-</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Therefore, the Employee understands that refusing or</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5"/>
              </w:rPr>
              <w:t>satunya akibat jika Pekerja tidak bersetuju atau menarik balik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8"/>
              </w:rPr>
              <w:t>withdrawing his or her consent may affect the Employee’s ability</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4"/>
              </w:rPr>
              <w:t>persetujuan Pekerja adalah bahawa Syarikat tidak akan dapat</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to participate in the Plan. For more information on the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0"/>
              </w:rPr>
              <w:t>memberikan  kepada  Pekerja  opsyen  atau  anugerah-anugerah</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6"/>
              </w:rPr>
              <w:t>consequences of the Employee’s refusal to consent or withdrawal</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ekuiti  yang  lain  atau  mentadbir  atau  mengekalkan  anugerah</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w w:val="87"/>
              </w:rPr>
              <w:t>of consent, the Employee understands that he or she may contact</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3"/>
              </w:rPr>
              <w:t>tersebut. Pekerja turut memahami bahawa pihak Syarikat tidak</w:t>
            </w:r>
          </w:p>
        </w:tc>
        <w:tc>
          <w:tcPr>
            <w:tcW w:w="0" w:type="dxa"/>
            <w:vAlign w:val="bottom"/>
          </w:tcPr>
          <w:p>
            <w:pPr>
              <w:spacing w:after="0"/>
              <w:rPr>
                <w:sz w:val="1"/>
                <w:szCs w:val="1"/>
                <w:color w:val="auto"/>
              </w:rPr>
            </w:pPr>
          </w:p>
        </w:tc>
      </w:tr>
      <w:tr>
        <w:trPr>
          <w:trHeight w:val="189"/>
        </w:trPr>
        <w:tc>
          <w:tcPr>
            <w:tcW w:w="5540" w:type="dxa"/>
            <w:vAlign w:val="bottom"/>
            <w:gridSpan w:val="5"/>
          </w:tcPr>
          <w:p>
            <w:pPr>
              <w:ind w:left="60"/>
              <w:spacing w:after="0" w:line="189" w:lineRule="exact"/>
              <w:rPr>
                <w:sz w:val="20"/>
                <w:szCs w:val="20"/>
                <w:color w:val="auto"/>
              </w:rPr>
            </w:pPr>
            <w:r>
              <w:rPr>
                <w:rFonts w:ascii="Arial" w:cs="Arial" w:eastAsia="Arial" w:hAnsi="Arial"/>
                <w:sz w:val="20"/>
                <w:szCs w:val="20"/>
                <w:b w:val="1"/>
                <w:bCs w:val="1"/>
                <w:i w:val="1"/>
                <w:iCs w:val="1"/>
                <w:color w:val="auto"/>
              </w:rPr>
              <w:t>his or her local human resources representative.</w:t>
            </w: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1"/>
              </w:rPr>
              <w:t>mempunyai  sebarang  kewajiban  untuk  menggantikan  bentuk</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6"/>
              </w:rPr>
              <w:t>anugerah yang lain atau memberikan sebarang bentuk kompensasi</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7"/>
              </w:rPr>
              <w:t>sebagai pengganti opsyen disebabkan keengganan atau penarikan</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4"/>
              </w:rPr>
              <w:t>balik persetujuan Pekerja. Oleh kerana itu, Pekerja memahami</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4"/>
              </w:rPr>
              <w:t>bahawa keengganan atau penarikan balik persetujuan Pekerja</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boleh menjejaskan keupayaan Pekerja untuk mengambil bahagian</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dalam Pelan. Untuk maklumat lanjut mengenai akibat keengganan</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97"/>
              </w:rPr>
              <w:t>Pekerja  untuk  memberikan  keizinan  atau  penarikan  balik</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60" w:type="dxa"/>
            <w:vAlign w:val="bottom"/>
            <w:gridSpan w:val="6"/>
          </w:tcPr>
          <w:p>
            <w:pPr>
              <w:ind w:left="100"/>
              <w:spacing w:after="0" w:line="189" w:lineRule="exact"/>
              <w:rPr>
                <w:sz w:val="20"/>
                <w:szCs w:val="20"/>
                <w:color w:val="auto"/>
              </w:rPr>
            </w:pPr>
            <w:r>
              <w:rPr>
                <w:rFonts w:ascii="Arial" w:cs="Arial" w:eastAsia="Arial" w:hAnsi="Arial"/>
                <w:sz w:val="20"/>
                <w:szCs w:val="20"/>
                <w:b w:val="1"/>
                <w:bCs w:val="1"/>
                <w:i w:val="1"/>
                <w:iCs w:val="1"/>
                <w:color w:val="auto"/>
                <w:w w:val="88"/>
              </w:rPr>
              <w:t>keizinan, Pekerja memahami bahawa Pekerja boleh menghubungi</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660" w:type="dxa"/>
            <w:vAlign w:val="bottom"/>
            <w:gridSpan w:val="6"/>
          </w:tcPr>
          <w:p>
            <w:pPr>
              <w:ind w:left="100"/>
              <w:spacing w:after="0"/>
              <w:rPr>
                <w:sz w:val="20"/>
                <w:szCs w:val="20"/>
                <w:color w:val="auto"/>
              </w:rPr>
            </w:pPr>
            <w:r>
              <w:rPr>
                <w:rFonts w:ascii="Arial" w:cs="Arial" w:eastAsia="Arial" w:hAnsi="Arial"/>
                <w:sz w:val="20"/>
                <w:szCs w:val="20"/>
                <w:b w:val="1"/>
                <w:bCs w:val="1"/>
                <w:i w:val="1"/>
                <w:iCs w:val="1"/>
                <w:color w:val="auto"/>
              </w:rPr>
              <w:t>wakil sumber manusia tempatannya.</w:t>
            </w:r>
          </w:p>
        </w:tc>
        <w:tc>
          <w:tcPr>
            <w:tcW w:w="0" w:type="dxa"/>
            <w:vAlign w:val="bottom"/>
          </w:tcPr>
          <w:p>
            <w:pPr>
              <w:spacing w:after="0"/>
              <w:rPr>
                <w:sz w:val="1"/>
                <w:szCs w:val="1"/>
                <w:color w:val="auto"/>
              </w:rPr>
            </w:pPr>
          </w:p>
        </w:tc>
      </w:tr>
    </w:tbl>
    <w:p>
      <w:pPr>
        <w:spacing w:after="0" w:line="20" w:lineRule="exact"/>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7340600</wp:posOffset>
            </wp:positionH>
            <wp:positionV relativeFrom="page">
              <wp:posOffset>106045</wp:posOffset>
            </wp:positionV>
            <wp:extent cx="8255" cy="1714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page">
              <wp:posOffset>3748405</wp:posOffset>
            </wp:positionH>
            <wp:positionV relativeFrom="page">
              <wp:posOffset>106045</wp:posOffset>
            </wp:positionV>
            <wp:extent cx="51435" cy="1714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2">
                      <a:extLst>
                        <a:ext uri="{28A0092B-C50C-407E-A947-70E740481C1C}"/>
                      </a:extLst>
                    </a:blip>
                    <a:srcRect/>
                    <a:stretch>
                      <a:fillRect/>
                    </a:stretch>
                  </pic:blipFill>
                  <pic:spPr bwMode="auto">
                    <a:xfrm>
                      <a:off x="0" y="0"/>
                      <a:ext cx="5143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8890" cy="1714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-9793605</wp:posOffset>
            </wp:positionV>
            <wp:extent cx="7140575" cy="993521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4">
                      <a:extLst>
                        <a:ext uri="{28A0092B-C50C-407E-A947-70E740481C1C}"/>
                      </a:extLst>
                    </a:blip>
                    <a:srcRect/>
                    <a:stretch>
                      <a:fillRect/>
                    </a:stretch>
                  </pic:blipFill>
                  <pic:spPr bwMode="auto">
                    <a:xfrm>
                      <a:off x="0" y="0"/>
                      <a:ext cx="7140575" cy="9935210"/>
                    </a:xfrm>
                    <a:prstGeom prst="rect">
                      <a:avLst/>
                    </a:prstGeom>
                    <a:noFill/>
                  </pic:spPr>
                </pic:pic>
              </a:graphicData>
            </a:graphic>
          </wp:anchor>
        </w:drawing>
      </w:r>
    </w:p>
    <w:p>
      <w:pPr>
        <w:sectPr>
          <w:pgSz w:w="11900" w:h="16838" w:orient="portrait"/>
          <w:cols w:equalWidth="0" w:num="1">
            <w:col w:w="11200"/>
          </w:cols>
          <w:pgMar w:left="340" w:top="167" w:right="359" w:bottom="642" w:gutter="0" w:footer="0" w:header="0"/>
        </w:sectPr>
      </w:pPr>
    </w:p>
    <w:bookmarkStart w:id="180" w:name="page181"/>
    <w:bookmarkEnd w:id="180"/>
    <w:p>
      <w:pPr>
        <w:ind w:right="40"/>
        <w:spacing w:after="0" w:line="211"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Employee is a director of the Company’s Malaysian subsidiary or affiliate, the Employee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Malaysian Companies Act. Among these requirements is an obligation to notify the Malaysian subsidiary or affiliate in writing when the Employee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Deferred Stock Units or shares of Common Stock) in the Company or any related company. Such notifications must be made within 14 days of receiving or disposing of any interest in the Company or any related company.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accepting the grant of the Deferred Stock Units, the Employee expressly recognizes that Mondelēz International, Inc.,</w:t>
      </w:r>
      <w:r>
        <w:rPr>
          <w:rFonts w:ascii="Arial" w:cs="Arial" w:eastAsia="Arial" w:hAnsi="Arial"/>
          <w:sz w:val="19"/>
          <w:szCs w:val="19"/>
          <w:b w:val="1"/>
          <w:bCs w:val="1"/>
          <w:color w:val="auto"/>
        </w:rPr>
        <w:t xml:space="preserve"> </w:t>
      </w:r>
      <w:r>
        <w:rPr>
          <w:rFonts w:ascii="Arial" w:cs="Arial" w:eastAsia="Arial" w:hAnsi="Arial"/>
          <w:sz w:val="19"/>
          <w:szCs w:val="19"/>
          <w:color w:val="auto"/>
        </w:rPr>
        <w:t>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Mondelēz México, S. de R.L. de C.V., located at Avenida Santa Fe 485, Piso 7, Colonia Cruz Manca, Mexico City, C.P. 05349 Mexico. Based on the foregoing, the Employee expressly recognizes that the Plan and the benefits that he or she may derive from participating in the Plan do not establish any rights between the Employee and the Employer, Mondelēz México, S. de R.L. de C.V., and do not form part of the employment conditions and/or benefits provided by Mondelēz México, S. de R.L. de C.V., and any modification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60"/>
          </w:cols>
          <w:pgMar w:left="320" w:top="104" w:right="41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color w:val="auto"/>
        </w:rPr>
        <w:t>Plan or its termination shall not constitute a change or impairment of the terms and conditions of the Employee’s employment.</w:t>
      </w:r>
    </w:p>
    <w:p>
      <w:pPr>
        <w:spacing w:after="0" w:line="175" w:lineRule="exact"/>
        <w:rPr>
          <w:sz w:val="20"/>
          <w:szCs w:val="20"/>
          <w:color w:val="auto"/>
        </w:rPr>
      </w:pPr>
    </w:p>
    <w:p>
      <w:pPr>
        <w:ind w:right="60"/>
        <w:spacing w:after="0" w:line="218" w:lineRule="auto"/>
        <w:rPr>
          <w:sz w:val="20"/>
          <w:szCs w:val="20"/>
          <w:color w:val="auto"/>
        </w:rPr>
      </w:pPr>
      <w:r>
        <w:rPr>
          <w:rFonts w:ascii="Arial" w:cs="Arial" w:eastAsia="Arial" w:hAnsi="Arial"/>
          <w:sz w:val="20"/>
          <w:szCs w:val="20"/>
          <w:color w:val="auto"/>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spacing w:after="0" w:line="150"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Deferred Stock Units, the Employee acknowledges that he or she has received copies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Plan, has reviewed the Plan and the Agreement in their entirety and fully understands and accepts all provisions of the Plan and the Agreement.</w:t>
      </w:r>
    </w:p>
    <w:p>
      <w:pPr>
        <w:spacing w:after="0" w:line="157" w:lineRule="exact"/>
        <w:rPr>
          <w:sz w:val="20"/>
          <w:szCs w:val="20"/>
          <w:color w:val="auto"/>
        </w:rPr>
      </w:pPr>
    </w:p>
    <w:p>
      <w:pPr>
        <w:ind w:right="80"/>
        <w:spacing w:after="0" w:line="207" w:lineRule="auto"/>
        <w:rPr>
          <w:sz w:val="20"/>
          <w:szCs w:val="20"/>
          <w:color w:val="auto"/>
        </w:rPr>
      </w:pPr>
      <w:r>
        <w:rPr>
          <w:rFonts w:ascii="Arial" w:cs="Arial" w:eastAsia="Arial" w:hAnsi="Arial"/>
          <w:sz w:val="20"/>
          <w:szCs w:val="20"/>
          <w:color w:val="auto"/>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w:t>
      </w:r>
    </w:p>
    <w:p>
      <w:pPr>
        <w:spacing w:after="0" w:line="160" w:lineRule="exact"/>
        <w:rPr>
          <w:sz w:val="20"/>
          <w:szCs w:val="20"/>
          <w:color w:val="auto"/>
        </w:rPr>
      </w:pPr>
    </w:p>
    <w:p>
      <w:pPr>
        <w:ind w:right="20"/>
        <w:spacing w:after="0" w:line="224" w:lineRule="auto"/>
        <w:rPr>
          <w:sz w:val="20"/>
          <w:szCs w:val="20"/>
          <w:color w:val="auto"/>
        </w:rPr>
      </w:pPr>
      <w:r>
        <w:rPr>
          <w:rFonts w:ascii="Arial" w:cs="Arial" w:eastAsia="Arial" w:hAnsi="Arial"/>
          <w:sz w:val="19"/>
          <w:szCs w:val="19"/>
          <w:color w:val="auto"/>
        </w:rPr>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169"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 xml:space="preserve">Política Laboral y Reconocimiento/Aceptación. </w:t>
      </w:r>
      <w:r>
        <w:rPr>
          <w:rFonts w:ascii="Arial" w:cs="Arial" w:eastAsia="Arial" w:hAnsi="Arial"/>
          <w:sz w:val="19"/>
          <w:szCs w:val="19"/>
          <w:color w:val="auto"/>
        </w:rPr>
        <w:t>Al aceptar el otorgamiento de las Acciones Diferidas, el Empleado expresamente reconoce</w:t>
      </w:r>
      <w:r>
        <w:rPr>
          <w:rFonts w:ascii="Arial" w:cs="Arial" w:eastAsia="Arial" w:hAnsi="Arial"/>
          <w:sz w:val="19"/>
          <w:szCs w:val="19"/>
          <w:b w:val="1"/>
          <w:bCs w:val="1"/>
          <w:color w:val="auto"/>
        </w:rPr>
        <w:t xml:space="preserve"> </w:t>
      </w:r>
      <w:r>
        <w:rPr>
          <w:rFonts w:ascii="Arial" w:cs="Arial" w:eastAsia="Arial" w:hAnsi="Arial"/>
          <w:sz w:val="19"/>
          <w:szCs w:val="19"/>
          <w:color w:val="auto"/>
        </w:rPr>
        <w:t>que Mondelēz International, Inc., con domicilio registrado ubicado en 905 West Fulton Market, Suite 200, Chicago, Illinois 60607,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Mondelēz México,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Empleado.</w:t>
      </w:r>
    </w:p>
    <w:p>
      <w:pPr>
        <w:spacing w:after="0" w:line="155" w:lineRule="exact"/>
        <w:rPr>
          <w:sz w:val="20"/>
          <w:szCs w:val="20"/>
          <w:color w:val="auto"/>
        </w:rPr>
      </w:pPr>
    </w:p>
    <w:p>
      <w:pPr>
        <w:ind w:right="380"/>
        <w:spacing w:after="0" w:line="218" w:lineRule="auto"/>
        <w:rPr>
          <w:sz w:val="20"/>
          <w:szCs w:val="20"/>
          <w:color w:val="auto"/>
        </w:rPr>
      </w:pPr>
      <w:r>
        <w:rPr>
          <w:rFonts w:ascii="Arial" w:cs="Arial" w:eastAsia="Arial" w:hAnsi="Arial"/>
          <w:sz w:val="20"/>
          <w:szCs w:val="20"/>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50" w:lineRule="exact"/>
        <w:rPr>
          <w:sz w:val="20"/>
          <w:szCs w:val="20"/>
          <w:color w:val="auto"/>
        </w:rPr>
      </w:pPr>
    </w:p>
    <w:p>
      <w:pPr>
        <w:ind w:right="380"/>
        <w:spacing w:after="0" w:line="220"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las Acciones Diferidas, el Empleado reconoce que ha recibido</w:t>
      </w:r>
      <w:r>
        <w:rPr>
          <w:rFonts w:ascii="Arial" w:cs="Arial" w:eastAsia="Arial" w:hAnsi="Arial"/>
          <w:sz w:val="20"/>
          <w:szCs w:val="20"/>
          <w:b w:val="1"/>
          <w:bCs w:val="1"/>
          <w:color w:val="auto"/>
        </w:rPr>
        <w:t xml:space="preserve"> </w:t>
      </w:r>
      <w:r>
        <w:rPr>
          <w:rFonts w:ascii="Arial" w:cs="Arial" w:eastAsia="Arial" w:hAnsi="Arial"/>
          <w:sz w:val="20"/>
          <w:szCs w:val="20"/>
          <w:color w:val="auto"/>
        </w:rPr>
        <w:t>copias del Plan, que ha revisado el Plan y el Acuerdo en su totalidad y que entiende y acepta completamente todas las disposiciones contenidas en el Plan y en el Acuerdo.</w:t>
      </w:r>
    </w:p>
    <w:p>
      <w:pPr>
        <w:spacing w:after="0" w:line="157" w:lineRule="exact"/>
        <w:rPr>
          <w:sz w:val="20"/>
          <w:szCs w:val="20"/>
          <w:color w:val="auto"/>
        </w:rPr>
      </w:pPr>
    </w:p>
    <w:p>
      <w:pPr>
        <w:ind w:right="540"/>
        <w:spacing w:after="0" w:line="233" w:lineRule="auto"/>
        <w:rPr>
          <w:sz w:val="20"/>
          <w:szCs w:val="20"/>
          <w:color w:val="auto"/>
        </w:rPr>
      </w:pPr>
      <w:r>
        <w:rPr>
          <w:rFonts w:ascii="Arial" w:cs="Arial" w:eastAsia="Arial" w:hAnsi="Arial"/>
          <w:sz w:val="18"/>
          <w:szCs w:val="18"/>
          <w:color w:val="auto"/>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05" w:right="3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color w:val="auto"/>
        </w:rPr>
        <w:t>son responsables por ninguna disminución en el valor de las Acciones subyacentes de las Acciones Diferidas.</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Deferred Stock Units and the shares of Common Stock offered under the Plan have not been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National Register of Securities maintained by the Mexican National Banking and Securities Commission and cannot be offered or sold publicly in Mexico. In addition, the Plan, the Agreement and any other document relating to the Deferred Stock Units may not be publicly distributed in Mexico. These materials are addressed to the Employee only because of the Employee’s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181"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56" w:lineRule="exact"/>
        <w:rPr>
          <w:sz w:val="20"/>
          <w:szCs w:val="20"/>
          <w:color w:val="auto"/>
        </w:rPr>
      </w:pPr>
    </w:p>
    <w:p>
      <w:pPr>
        <w:spacing w:after="0" w:line="207" w:lineRule="auto"/>
        <w:rPr>
          <w:sz w:val="20"/>
          <w:szCs w:val="20"/>
          <w:color w:val="auto"/>
        </w:rPr>
      </w:pPr>
      <w:r>
        <w:rPr>
          <w:rFonts w:ascii="Arial" w:cs="Arial" w:eastAsia="Arial" w:hAnsi="Arial"/>
          <w:sz w:val="20"/>
          <w:szCs w:val="20"/>
          <w:color w:val="auto"/>
        </w:rPr>
        <w:t>For purposes of this Agreement, (a)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procedures established by the Company for purposes of the Plan, and (b)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1405" w:right="339" w:bottom="1440" w:gutter="0" w:footer="0" w:header="0"/>
        </w:sectPr>
      </w:pPr>
    </w:p>
    <w:bookmarkStart w:id="183" w:name="page184"/>
    <w:bookmarkEnd w:id="183"/>
    <w:p>
      <w:pPr>
        <w:spacing w:after="0" w:line="229" w:lineRule="auto"/>
        <w:rPr>
          <w:sz w:val="20"/>
          <w:szCs w:val="20"/>
          <w:color w:val="auto"/>
        </w:rPr>
      </w:pPr>
      <w:r>
        <w:rPr>
          <w:rFonts w:ascii="Arial" w:cs="Arial" w:eastAsia="Arial" w:hAnsi="Arial"/>
          <w:sz w:val="20"/>
          <w:szCs w:val="20"/>
          <w:color w:val="auto"/>
        </w:rPr>
        <w:t>retirement age, the age at which pension benefits under such plan or contract become payable without reduction for early commencement and without any requirement of a particular period of prior service).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Employee is being offered Deferred Stock Units which allows the Employee to acquire shares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of Common Stock in accordance with the terms of the Plan and the Agreement. The shares of Common Stock, if issued, give the Employee a stake in the ownership of the Company. The Employee may receive a return if dividends are paid.</w:t>
      </w:r>
    </w:p>
    <w:p>
      <w:pPr>
        <w:spacing w:after="0" w:line="155" w:lineRule="exact"/>
        <w:rPr>
          <w:sz w:val="20"/>
          <w:szCs w:val="20"/>
          <w:color w:val="auto"/>
        </w:rPr>
      </w:pPr>
    </w:p>
    <w:p>
      <w:pPr>
        <w:ind w:right="280"/>
        <w:spacing w:after="0" w:line="229" w:lineRule="auto"/>
        <w:rPr>
          <w:sz w:val="20"/>
          <w:szCs w:val="20"/>
          <w:color w:val="auto"/>
        </w:rPr>
      </w:pPr>
      <w:r>
        <w:rPr>
          <w:rFonts w:ascii="Arial" w:cs="Arial" w:eastAsia="Arial" w:hAnsi="Arial"/>
          <w:sz w:val="20"/>
          <w:szCs w:val="20"/>
          <w:i w:val="1"/>
          <w:iCs w:val="1"/>
          <w:color w:val="auto"/>
        </w:rPr>
        <w:t>If the Company runs into financial difficulties and is wound up, the Employee will be paid only after all creditors and holders of preferred shares have been paid. The Employee may lose some or all of his or her investment.</w:t>
      </w:r>
    </w:p>
    <w:p>
      <w:pPr>
        <w:spacing w:after="0" w:line="155"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spacing w:after="0" w:line="153" w:lineRule="exact"/>
        <w:rPr>
          <w:sz w:val="20"/>
          <w:szCs w:val="20"/>
          <w:color w:val="auto"/>
        </w:rPr>
      </w:pPr>
    </w:p>
    <w:p>
      <w:pPr>
        <w:ind w:right="240"/>
        <w:spacing w:after="0" w:line="229" w:lineRule="auto"/>
        <w:rPr>
          <w:sz w:val="20"/>
          <w:szCs w:val="20"/>
          <w:color w:val="auto"/>
        </w:rPr>
      </w:pPr>
      <w:r>
        <w:rPr>
          <w:rFonts w:ascii="Arial" w:cs="Arial" w:eastAsia="Arial" w:hAnsi="Arial"/>
          <w:sz w:val="20"/>
          <w:szCs w:val="20"/>
          <w:i w:val="1"/>
          <w:iCs w:val="1"/>
          <w:color w:val="auto"/>
        </w:rPr>
        <w:t>The Employee understands that he or she should ask questions, read all documents carefully, and seek independent financial advice before participating in the Plan.</w:t>
      </w:r>
    </w:p>
    <w:p>
      <w:pPr>
        <w:spacing w:after="0" w:line="155"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spacing w:after="0" w:line="152" w:lineRule="exact"/>
        <w:rPr>
          <w:sz w:val="20"/>
          <w:szCs w:val="20"/>
          <w:color w:val="auto"/>
        </w:rPr>
      </w:pPr>
    </w:p>
    <w:p>
      <w:pPr>
        <w:jc w:val="both"/>
        <w:ind w:right="220"/>
        <w:spacing w:after="0" w:line="213"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auto"/>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u w:val="single" w:color="auto"/>
          <w:color w:val="auto"/>
        </w:rPr>
        <w:t>http://ir.mondelezinternational.com/sec.cfm</w:t>
      </w:r>
      <w:r>
        <w:rPr>
          <w:rFonts w:ascii="Arial" w:cs="Arial" w:eastAsia="Arial" w:hAnsi="Arial"/>
          <w:sz w:val="20"/>
          <w:szCs w:val="20"/>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is required immediately to repatriate to Pakistan the proceeds from the sale of 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1405" w:right="359" w:bottom="1440" w:gutter="0" w:footer="0" w:header="0"/>
        </w:sectPr>
      </w:pPr>
    </w:p>
    <w:bookmarkStart w:id="184" w:name="page185"/>
    <w:bookmarkEnd w:id="184"/>
    <w:p>
      <w:pPr>
        <w:ind w:right="2140"/>
        <w:spacing w:after="0" w:line="436" w:lineRule="auto"/>
        <w:rPr>
          <w:sz w:val="20"/>
          <w:szCs w:val="20"/>
          <w:color w:val="auto"/>
        </w:rPr>
      </w:pPr>
      <w:r>
        <w:rPr>
          <w:rFonts w:ascii="Arial" w:cs="Arial" w:eastAsia="Arial" w:hAnsi="Arial"/>
          <w:sz w:val="20"/>
          <w:szCs w:val="20"/>
          <w:color w:val="auto"/>
        </w:rPr>
        <w:t xml:space="preserve">frequent change. The Employee is responsible for ensuring compliance with all exchange control laws in Pakistan. </w:t>
      </w:r>
      <w:r>
        <w:rPr>
          <w:rFonts w:ascii="Arial" w:cs="Arial" w:eastAsia="Arial" w:hAnsi="Arial"/>
          <w:sz w:val="20"/>
          <w:szCs w:val="20"/>
          <w:b w:val="1"/>
          <w:bCs w:val="1"/>
          <w:u w:val="single" w:color="auto"/>
          <w:color w:val="auto"/>
        </w:rPr>
        <w:t>PANAMA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70"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1"/>
          <w:szCs w:val="21"/>
          <w:color w:val="auto"/>
        </w:rPr>
        <w:t>Neither the Deferred Stock Units nor any shares of Common Stock that the Employee may acquire at</w:t>
      </w:r>
      <w:r>
        <w:rPr>
          <w:rFonts w:ascii="Arial" w:cs="Arial" w:eastAsia="Arial" w:hAnsi="Arial"/>
          <w:sz w:val="20"/>
          <w:szCs w:val="20"/>
          <w:b w:val="1"/>
          <w:bCs w:val="1"/>
          <w:color w:val="auto"/>
        </w:rPr>
        <w:t xml:space="preserve"> </w:t>
      </w:r>
      <w:r>
        <w:rPr>
          <w:rFonts w:ascii="Arial" w:cs="Arial" w:eastAsia="Arial" w:hAnsi="Arial"/>
          <w:sz w:val="21"/>
          <w:szCs w:val="21"/>
          <w:color w:val="auto"/>
        </w:rPr>
        <w:t xml:space="preserve">vesting of the Deferred Stock Units constitute a public offering of securities, as they are available only to eligible employees of the </w:t>
      </w:r>
      <w:r>
        <w:rPr>
          <w:rFonts w:ascii="Arial" w:cs="Arial" w:eastAsia="Arial" w:hAnsi="Arial"/>
          <w:sz w:val="19"/>
          <w:szCs w:val="19"/>
          <w:color w:val="auto"/>
        </w:rPr>
        <w:t>Mondelēz Group</w:t>
      </w:r>
      <w:r>
        <w:rPr>
          <w:rFonts w:ascii="Arial" w:cs="Arial" w:eastAsia="Arial" w:hAnsi="Arial"/>
          <w:sz w:val="21"/>
          <w:szCs w:val="21"/>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13 of the Agreement:</w:t>
      </w:r>
    </w:p>
    <w:p>
      <w:pPr>
        <w:spacing w:after="0" w:line="204"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 xml:space="preserve">By accepting the Deferred Stock Units, the Employee acknowledges, understands and agrees that the Deferred Stock Units are being granted </w:t>
      </w:r>
      <w:r>
        <w:rPr>
          <w:rFonts w:ascii="Arial" w:cs="Arial" w:eastAsia="Arial" w:hAnsi="Arial"/>
          <w:sz w:val="20"/>
          <w:szCs w:val="20"/>
          <w:i w:val="1"/>
          <w:iCs w:val="1"/>
          <w:color w:val="auto"/>
        </w:rPr>
        <w:t xml:space="preserve">ex gratia </w:t>
      </w:r>
      <w:r>
        <w:rPr>
          <w:rFonts w:ascii="Arial" w:cs="Arial" w:eastAsia="Arial" w:hAnsi="Arial"/>
          <w:sz w:val="20"/>
          <w:szCs w:val="20"/>
          <w:color w:val="auto"/>
        </w:rPr>
        <w:t>to the Employee.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60"/>
        <w:spacing w:after="0" w:line="226"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Deferred Stock Units is considered a private offering in Peru; therefore, it is not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Arial" w:cs="Arial" w:eastAsia="Arial" w:hAnsi="Arial"/>
          <w:sz w:val="19"/>
          <w:szCs w:val="19"/>
          <w:u w:val="single" w:color="auto"/>
          <w:color w:val="auto"/>
        </w:rPr>
        <w:t>www.sec.gov</w:t>
      </w:r>
      <w:r>
        <w:rPr>
          <w:rFonts w:ascii="Arial" w:cs="Arial" w:eastAsia="Arial" w:hAnsi="Arial"/>
          <w:sz w:val="19"/>
          <w:szCs w:val="19"/>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40"/>
        <w:spacing w:after="0" w:line="214"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1405" w:right="35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40"/>
        <w:spacing w:after="0" w:line="249"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Employee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7"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Employee acquires shares of Common Stock under the Plan and does not hold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with a Portuguese financial intermediary, he or she may need to file a report with the Portuguese Central Bank. If the shares of Common Stock are held by a Portuguese financial intermediary, it will file the report for the Employee.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420"/>
        <w:spacing w:after="0" w:line="214"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80"/>
        <w:spacing w:after="0" w:line="20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This Agreement, the Plan and all other materials that the Employee may receive concerning the Deferred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Units and the Employee’s participation in the Plan do not constitute advertising or an offering of securities in Russia. The Common Stock to be issued upon the vesting of the Deferred Stock Units has not and will not be registered in Russia and, therefore, the Common Stock described in any Plan documents may not be offered or placed in public circulation in Russia. In no event will Common Stock to be issued upon the vesting of the Deferred Stock Units be delivered to the Employee in Russia. All Common Stock acquired under the Plan will be maintained on the Employee’s behalf outside of Russia. The Employee will not be permitted to sell Common Stock directly to a Russian legal entity or resident.</w:t>
      </w:r>
    </w:p>
    <w:p>
      <w:pPr>
        <w:spacing w:after="0" w:line="151" w:lineRule="exact"/>
        <w:rPr>
          <w:sz w:val="20"/>
          <w:szCs w:val="20"/>
          <w:color w:val="auto"/>
        </w:rPr>
      </w:pPr>
    </w:p>
    <w:p>
      <w:pPr>
        <w:spacing w:after="0" w:line="216" w:lineRule="auto"/>
        <w:rPr>
          <w:sz w:val="20"/>
          <w:szCs w:val="20"/>
          <w:color w:val="auto"/>
        </w:rPr>
      </w:pPr>
      <w:r>
        <w:rPr>
          <w:rFonts w:ascii="Arial" w:cs="Arial" w:eastAsia="Arial" w:hAnsi="Arial"/>
          <w:sz w:val="19"/>
          <w:szCs w:val="19"/>
          <w:b w:val="1"/>
          <w:bCs w:val="1"/>
          <w:color w:val="auto"/>
        </w:rPr>
        <w:t xml:space="preserve">Settlement of Deferred Stock Units and Sale of Shares. </w:t>
      </w:r>
      <w:r>
        <w:rPr>
          <w:rFonts w:ascii="Arial" w:cs="Arial" w:eastAsia="Arial" w:hAnsi="Arial"/>
          <w:sz w:val="19"/>
          <w:szCs w:val="19"/>
          <w:color w:val="auto"/>
        </w:rPr>
        <w:t>Notwithstanding anything to the contrary in the Agreement, depending on the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of local 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405" w:right="3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14 of the Agreement:</w:t>
      </w:r>
    </w:p>
    <w:p>
      <w:pPr>
        <w:spacing w:after="0" w:line="18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Employee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may be required to repatriate certain cash amounts received with respect to the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to Russia as soon as the Employee intends to use those cash amounts for any purpose, including reinvestment. If the repatriation requirement applies, such funds must initially be credited to the Employee through a foreign currency account at an authorized bank in Russia. After the funds are initially received in Russia, they may be further remitted to foreign banks in accordance with Russian exchange control laws. Under the Directive N 5371-U of the Russian Central Bank (the “CBR”), the repatriation requirement may not apply in certain cases with respect to cash amounts received in an account that is considered by the CBR to be a foreign brokerage account. Statutory exceptions to the repatriation requirement also may apply. The Employee should contact their personal advisor to ensure compliance with the applicable exchange control requirements prior to the vesting of the Deferred Stock Units and/or selling Common Stock.</w:t>
      </w:r>
    </w:p>
    <w:p>
      <w:pPr>
        <w:spacing w:after="0" w:line="155" w:lineRule="exact"/>
        <w:rPr>
          <w:sz w:val="20"/>
          <w:szCs w:val="20"/>
          <w:color w:val="auto"/>
        </w:rPr>
      </w:pPr>
    </w:p>
    <w:p>
      <w:pPr>
        <w:ind w:right="220"/>
        <w:spacing w:after="0" w:line="249"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the Employee continues to hold shares of Common Stock acquired at vesting of Deferred Stock Units after an</w:t>
      </w:r>
      <w:r>
        <w:rPr>
          <w:rFonts w:ascii="Arial" w:cs="Arial" w:eastAsia="Arial" w:hAnsi="Arial"/>
          <w:sz w:val="19"/>
          <w:szCs w:val="19"/>
          <w:b w:val="1"/>
          <w:bCs w:val="1"/>
          <w:color w:val="auto"/>
        </w:rPr>
        <w:t xml:space="preserve"> </w:t>
      </w:r>
      <w:r>
        <w:rPr>
          <w:rFonts w:ascii="Arial" w:cs="Arial" w:eastAsia="Arial" w:hAnsi="Arial"/>
          <w:sz w:val="19"/>
          <w:szCs w:val="19"/>
          <w:color w:val="auto"/>
        </w:rPr>
        <w:t>involuntary termination of employment, the Employee will not be eligible to receive unemployment benefits in Russia.</w:t>
      </w:r>
    </w:p>
    <w:p>
      <w:pPr>
        <w:spacing w:after="0" w:line="141" w:lineRule="exact"/>
        <w:rPr>
          <w:sz w:val="20"/>
          <w:szCs w:val="20"/>
          <w:color w:val="auto"/>
        </w:rPr>
      </w:pPr>
    </w:p>
    <w:p>
      <w:pPr>
        <w:ind w:right="180"/>
        <w:spacing w:after="0" w:line="232"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Russian residents are required to report the opening, closing or change of details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 (including Common Stock) transactions in offshore accounts. The Employee should consult with their personal legal advisor to determine the applicability of these reporting requirements to any brokerage account opened in connection with participation in the Plan.</w:t>
      </w:r>
    </w:p>
    <w:p>
      <w:pPr>
        <w:spacing w:after="0" w:line="149"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Employee should inform the Company if the Employee is covered by these laws because the Employee should not hold shares of Common Stock acquired under the Plan.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40"/>
        <w:spacing w:after="0" w:line="226" w:lineRule="auto"/>
        <w:rPr>
          <w:sz w:val="20"/>
          <w:szCs w:val="20"/>
          <w:color w:val="auto"/>
        </w:rPr>
      </w:pPr>
      <w:r>
        <w:rPr>
          <w:rFonts w:ascii="Arial" w:cs="Arial" w:eastAsia="Arial" w:hAnsi="Arial"/>
          <w:sz w:val="19"/>
          <w:szCs w:val="19"/>
          <w:b w:val="1"/>
          <w:bCs w:val="1"/>
          <w:color w:val="auto"/>
        </w:rPr>
        <w:t>Deferred Stock Units Payable Only in Cash</w:t>
      </w:r>
      <w:r>
        <w:rPr>
          <w:rFonts w:ascii="Arial" w:cs="Arial" w:eastAsia="Arial" w:hAnsi="Arial"/>
          <w:sz w:val="19"/>
          <w:szCs w:val="19"/>
          <w:color w:val="auto"/>
        </w:rPr>
        <w:t>. 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20"/>
          </w:cols>
          <w:pgMar w:left="320" w:top="1399" w:right="359" w:bottom="1440" w:gutter="0" w:footer="0" w:header="0"/>
        </w:sectPr>
      </w:pPr>
    </w:p>
    <w:bookmarkStart w:id="187" w:name="page188"/>
    <w:bookmarkEnd w:id="187"/>
    <w:p>
      <w:pPr>
        <w:spacing w:after="0" w:line="27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document may not be distributed in the Kingdom of Saudi Arabia except to such persons as are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e.g.</w:t>
      </w:r>
      <w:r>
        <w:rPr>
          <w:rFonts w:ascii="Arial" w:cs="Arial" w:eastAsia="Arial" w:hAnsi="Arial"/>
          <w:sz w:val="18"/>
          <w:szCs w:val="18"/>
          <w:color w:val="auto"/>
        </w:rPr>
        <w:t>, Employees) under the Offer of Securities Regulations and Continuing Obligations issued by the Capital Market Authority.</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Pursuant to the Law on Foreign Exchange Transactions, the Employee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Because the exchange control regulations in Serbia may change without notice, the Employee should consult with his or her personal advisor to ensure compliance with applicable exchange control laws.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60"/>
        <w:spacing w:after="0" w:line="226" w:lineRule="auto"/>
        <w:rPr>
          <w:sz w:val="20"/>
          <w:szCs w:val="20"/>
          <w:color w:val="auto"/>
        </w:rPr>
      </w:pPr>
      <w:r>
        <w:rPr>
          <w:rFonts w:ascii="Arial" w:cs="Arial" w:eastAsia="Arial" w:hAnsi="Arial"/>
          <w:sz w:val="19"/>
          <w:szCs w:val="19"/>
          <w:b w:val="1"/>
          <w:bCs w:val="1"/>
          <w:color w:val="auto"/>
        </w:rPr>
        <w:t xml:space="preserve">Sale Restriction. </w:t>
      </w:r>
      <w:r>
        <w:rPr>
          <w:rFonts w:ascii="Arial" w:cs="Arial" w:eastAsia="Arial" w:hAnsi="Arial"/>
          <w:sz w:val="19"/>
          <w:szCs w:val="19"/>
          <w:color w:val="auto"/>
        </w:rPr>
        <w:t>The Employee agrees that any shares of Common Stock acquired pursuant to the Deferred Stock Units will not be offered</w:t>
      </w:r>
      <w:r>
        <w:rPr>
          <w:rFonts w:ascii="Arial" w:cs="Arial" w:eastAsia="Arial" w:hAnsi="Arial"/>
          <w:sz w:val="19"/>
          <w:szCs w:val="19"/>
          <w:b w:val="1"/>
          <w:bCs w:val="1"/>
          <w:color w:val="auto"/>
        </w:rPr>
        <w:t xml:space="preserve"> </w:t>
      </w:r>
      <w:r>
        <w:rPr>
          <w:rFonts w:ascii="Arial" w:cs="Arial" w:eastAsia="Arial" w:hAnsi="Arial"/>
          <w:sz w:val="19"/>
          <w:szCs w:val="19"/>
          <w:color w:val="auto"/>
        </w:rPr>
        <w:t>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60"/>
        <w:spacing w:after="0" w:line="23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Deferred Stock Units is being made pursuant to the “Qualifying Person” exemption under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273(1)(f) of the SFA and is not made to the Employee with a view to the Deferred Stock Units being subsequently offered for sale to any other party. The Plan has not been lodged or registered as a prospectus with the Monetary Authority of Singapore.</w:t>
      </w:r>
    </w:p>
    <w:p>
      <w:pPr>
        <w:spacing w:after="0" w:line="14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The directors, associate directors and shadow directors of a Singapore subsidiary or affiliate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certain notification requirements under the Singapore Companies Act. The directors, associate directors and shadow directors must notify the Singapore subsidiary or affiliate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Deferred Stock Units, shares of Common Stock, etc.) in the Company or any related companies within two business days of (i) its acquisition or disposal,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when the shares of Common Stock are sold), or (iii) becoming a director, associate director or shadow director. If the Employee is the chief executive officer (“CEO”) of a Singapore subsidiary or affiliate and the above notification requirements are determined to apply to the CEO of a Singapore subsidiary or affiliate, the above notification requirements also may apply to the Employee.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399" w:right="339" w:bottom="1440" w:gutter="0" w:footer="0" w:header="0"/>
        </w:sectPr>
      </w:pPr>
    </w:p>
    <w:bookmarkStart w:id="188" w:name="page189"/>
    <w:bookmarkEnd w:id="188"/>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14"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Employee’s brokerage account with the Company’s designated broker).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500"/>
        <w:spacing w:after="0" w:line="232"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on the Company’s public site or intranet site, as applicable, as listed below:</w:t>
      </w:r>
    </w:p>
    <w:p>
      <w:pPr>
        <w:spacing w:after="0" w:line="155" w:lineRule="exact"/>
        <w:rPr>
          <w:sz w:val="20"/>
          <w:szCs w:val="20"/>
          <w:color w:val="auto"/>
        </w:rPr>
      </w:pPr>
    </w:p>
    <w:p>
      <w:pPr>
        <w:ind w:left="660" w:right="940" w:hanging="328"/>
        <w:spacing w:after="0" w:line="229"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Company’s most recent Annual Report (Form 10-K): from the investor relations section of the Company’s website at http://www.mondelezinternational.com/investors.</w:t>
      </w:r>
    </w:p>
    <w:p>
      <w:pPr>
        <w:spacing w:after="0" w:line="155" w:lineRule="exact"/>
        <w:rPr>
          <w:rFonts w:ascii="Arial" w:cs="Arial" w:eastAsia="Arial" w:hAnsi="Arial"/>
          <w:sz w:val="20"/>
          <w:szCs w:val="20"/>
          <w:color w:val="auto"/>
        </w:rPr>
      </w:pPr>
    </w:p>
    <w:p>
      <w:pPr>
        <w:ind w:left="660" w:right="1260" w:hanging="328"/>
        <w:spacing w:after="0" w:line="229" w:lineRule="auto"/>
        <w:tabs>
          <w:tab w:leader="none" w:pos="6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55" w:lineRule="exact"/>
        <w:rPr>
          <w:sz w:val="20"/>
          <w:szCs w:val="20"/>
          <w:color w:val="auto"/>
        </w:rPr>
      </w:pPr>
    </w:p>
    <w:p>
      <w:pPr>
        <w:ind w:right="160"/>
        <w:spacing w:after="0" w:line="218" w:lineRule="auto"/>
        <w:rPr>
          <w:sz w:val="20"/>
          <w:szCs w:val="20"/>
          <w:color w:val="auto"/>
        </w:rPr>
      </w:pPr>
      <w:r>
        <w:rPr>
          <w:rFonts w:ascii="Arial" w:cs="Arial" w:eastAsia="Arial" w:hAnsi="Arial"/>
          <w:sz w:val="20"/>
          <w:szCs w:val="20"/>
          <w:color w:val="auto"/>
        </w:rPr>
        <w:t>The Employee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181"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By accepting the Deferred Stock Units, the Employee understands and acknowledges that he or she is required to notify the Employer of the amount of any gain realized upon vesting of the Deferred Stock Units.</w:t>
      </w:r>
    </w:p>
    <w:p>
      <w:pPr>
        <w:spacing w:after="0" w:line="149" w:lineRule="exact"/>
        <w:rPr>
          <w:sz w:val="20"/>
          <w:szCs w:val="20"/>
          <w:color w:val="auto"/>
        </w:rPr>
      </w:pPr>
    </w:p>
    <w:p>
      <w:pPr>
        <w:ind w:right="220"/>
        <w:spacing w:after="0" w:line="22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Employee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1405" w:right="35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13 of the Agreement:</w:t>
      </w:r>
    </w:p>
    <w:p>
      <w:pPr>
        <w:spacing w:after="0" w:line="181" w:lineRule="exact"/>
        <w:rPr>
          <w:sz w:val="20"/>
          <w:szCs w:val="20"/>
          <w:color w:val="auto"/>
        </w:rPr>
      </w:pPr>
    </w:p>
    <w:p>
      <w:pPr>
        <w:ind w:right="360"/>
        <w:spacing w:after="0" w:line="229" w:lineRule="auto"/>
        <w:rPr>
          <w:sz w:val="20"/>
          <w:szCs w:val="20"/>
          <w:color w:val="auto"/>
        </w:rPr>
      </w:pPr>
      <w:r>
        <w:rPr>
          <w:rFonts w:ascii="Arial" w:cs="Arial" w:eastAsia="Arial" w:hAnsi="Arial"/>
          <w:sz w:val="20"/>
          <w:szCs w:val="20"/>
          <w:color w:val="auto"/>
        </w:rPr>
        <w:t>In accepting the Deferred Stock Units, the Employee consents to participation in the Plan and acknowledges that he or she has received a copy of the Plan.</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52" w:lineRule="exact"/>
        <w:rPr>
          <w:sz w:val="20"/>
          <w:szCs w:val="20"/>
          <w:color w:val="auto"/>
        </w:rPr>
      </w:pPr>
    </w:p>
    <w:p>
      <w:pPr>
        <w:ind w:right="20"/>
        <w:spacing w:after="0" w:line="217" w:lineRule="auto"/>
        <w:rPr>
          <w:sz w:val="20"/>
          <w:szCs w:val="20"/>
          <w:color w:val="auto"/>
        </w:rPr>
      </w:pPr>
      <w:r>
        <w:rPr>
          <w:rFonts w:ascii="Arial" w:cs="Arial" w:eastAsia="Arial" w:hAnsi="Arial"/>
          <w:sz w:val="19"/>
          <w:szCs w:val="19"/>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56"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jc w:val="both"/>
        <w:ind w:right="220"/>
        <w:spacing w:after="0" w:line="220"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51" w:lineRule="exact"/>
        <w:rPr>
          <w:sz w:val="20"/>
          <w:szCs w:val="20"/>
          <w:color w:val="auto"/>
        </w:rPr>
      </w:pPr>
    </w:p>
    <w:p>
      <w:pPr>
        <w:ind w:right="20"/>
        <w:spacing w:after="0" w:line="21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Spanish Dirección General de Comercio e Inversiones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Employee holds 10% or more of the share capital of the Company), the declaration must be filed within one month of the acquisition or disposition, as applicable.</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addition, the Employee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20"/>
          </w:cols>
          <w:pgMar w:left="320" w:top="1399" w:right="35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accounts and instruments and the amount of the transactions during the relevant year as of December 31 of the relevant year.</w:t>
      </w:r>
    </w:p>
    <w:p>
      <w:pPr>
        <w:spacing w:after="0" w:line="16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Employee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w:t>
      </w:r>
    </w:p>
    <w:p>
      <w:pPr>
        <w:spacing w:after="0"/>
        <w:rPr>
          <w:sz w:val="20"/>
          <w:szCs w:val="20"/>
          <w:color w:val="auto"/>
        </w:rPr>
      </w:pPr>
      <w:r>
        <w:rPr>
          <w:rFonts w:ascii="Arial" w:cs="Arial" w:eastAsia="Arial" w:hAnsi="Arial"/>
          <w:sz w:val="16"/>
          <w:szCs w:val="16"/>
          <w:color w:val="auto"/>
        </w:rPr>
        <w:t>previously-reported rights or assets increases by more than €20,000, or if ownership of the asset is transferred or relinquished during the year.</w:t>
      </w:r>
    </w:p>
    <w:p>
      <w:pPr>
        <w:spacing w:after="0" w:line="1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181"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00"/>
        <w:spacing w:after="0" w:line="211"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Neither this document nor any other materials relating to the Deferred Stock Units (i) constitutes a prospectus</w:t>
      </w:r>
      <w:r>
        <w:rPr>
          <w:rFonts w:ascii="Arial" w:cs="Arial" w:eastAsia="Arial" w:hAnsi="Arial"/>
          <w:sz w:val="20"/>
          <w:szCs w:val="20"/>
          <w:b w:val="1"/>
          <w:bCs w:val="1"/>
          <w:color w:val="auto"/>
        </w:rPr>
        <w:t xml:space="preserve"> </w:t>
      </w:r>
      <w:r>
        <w:rPr>
          <w:rFonts w:ascii="Arial" w:cs="Arial" w:eastAsia="Arial" w:hAnsi="Arial"/>
          <w:sz w:val="20"/>
          <w:szCs w:val="20"/>
          <w:color w:val="auto"/>
        </w:rPr>
        <w:t>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140"/>
        <w:spacing w:after="0" w:line="207"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Employee hereby acknowledges that he or she has read and understood the terms regarding collection,</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1405" w:right="359" w:bottom="1440" w:gutter="0" w:footer="0" w:header="0"/>
        </w:sectPr>
      </w:pPr>
    </w:p>
    <w:bookmarkStart w:id="191" w:name="page192"/>
    <w:bookmarkEnd w:id="191"/>
    <w:p>
      <w:pPr>
        <w:spacing w:after="0" w:line="249"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and the shares of Common Stock to be issued pursuant to the Plan are available only</w:t>
      </w:r>
      <w:r>
        <w:rPr>
          <w:rFonts w:ascii="Arial" w:cs="Arial" w:eastAsia="Arial" w:hAnsi="Arial"/>
          <w:sz w:val="19"/>
          <w:szCs w:val="19"/>
          <w:b w:val="1"/>
          <w:bCs w:val="1"/>
          <w:color w:val="auto"/>
        </w:rPr>
        <w:t xml:space="preserve"> </w:t>
      </w:r>
      <w:r>
        <w:rPr>
          <w:rFonts w:ascii="Arial" w:cs="Arial" w:eastAsia="Arial" w:hAnsi="Arial"/>
          <w:sz w:val="19"/>
          <w:szCs w:val="19"/>
          <w:color w:val="auto"/>
        </w:rPr>
        <w:t>to employees of the Mondelēz Group. The grant of Deferred Stock Units does not constitute a public offer of securities.</w:t>
      </w:r>
    </w:p>
    <w:p>
      <w:pPr>
        <w:spacing w:after="0" w:line="141"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The Employee may acquire and remit foreign currency (including proceeds from the sale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into Taiwan up to US $5,000,000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40"/>
        <w:spacing w:after="0" w:line="21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of Common Stock are equal to or greater than US$1,000,000 in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transaction, the 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provide details of the transaction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identification information and purposes of the transaction) to the receiving bank. If the Employee fails to comply with these obligations, the Employee may be subject to penalties assessed by the Bank of Thailand.</w:t>
      </w:r>
    </w:p>
    <w:p>
      <w:pPr>
        <w:spacing w:after="0" w:line="160" w:lineRule="exact"/>
        <w:rPr>
          <w:sz w:val="20"/>
          <w:szCs w:val="20"/>
          <w:color w:val="auto"/>
        </w:rPr>
      </w:pPr>
    </w:p>
    <w:p>
      <w:pPr>
        <w:jc w:val="both"/>
        <w:ind w:right="280"/>
        <w:spacing w:after="0" w:line="269" w:lineRule="auto"/>
        <w:rPr>
          <w:sz w:val="20"/>
          <w:szCs w:val="20"/>
          <w:color w:val="auto"/>
        </w:rPr>
      </w:pPr>
      <w:r>
        <w:rPr>
          <w:rFonts w:ascii="Arial" w:cs="Arial" w:eastAsia="Arial" w:hAnsi="Arial"/>
          <w:sz w:val="18"/>
          <w:szCs w:val="18"/>
          <w:color w:val="auto"/>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20"/>
        <w:spacing w:after="0" w:line="220"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Employee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51" w:lineRule="exact"/>
        <w:rPr>
          <w:sz w:val="20"/>
          <w:szCs w:val="20"/>
          <w:color w:val="auto"/>
        </w:rPr>
      </w:pPr>
    </w:p>
    <w:p>
      <w:pPr>
        <w:ind w:right="100"/>
        <w:spacing w:after="0" w:line="22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may be required to engage a Turkish financial intermediary to assist with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0"/>
        <w:spacing w:after="0" w:line="214"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20"/>
          </w:cols>
          <w:pgMar w:left="320" w:top="1399" w:right="359" w:bottom="1440" w:gutter="0" w:footer="0" w:header="0"/>
        </w:sectPr>
      </w:pPr>
    </w:p>
    <w:bookmarkStart w:id="192" w:name="page193"/>
    <w:bookmarkEnd w:id="192"/>
    <w:p>
      <w:pPr>
        <w:ind w:right="200"/>
        <w:spacing w:after="0" w:line="22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The Employee is solely responsible for complying with applicable Ukraine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120"/>
        <w:spacing w:after="0" w:line="214"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Employees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w:t>
      </w:r>
    </w:p>
    <w:p>
      <w:pPr>
        <w:spacing w:after="0" w:line="158"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181"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56" w:lineRule="exact"/>
        <w:rPr>
          <w:sz w:val="20"/>
          <w:szCs w:val="20"/>
          <w:color w:val="auto"/>
        </w:rPr>
      </w:pPr>
    </w:p>
    <w:p>
      <w:pPr>
        <w:spacing w:after="0" w:line="21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Without limitation to paragraph 5 of the Agreement, the Employee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6"/>
          <w:szCs w:val="16"/>
          <w:u w:val="single" w:color="auto"/>
          <w:color w:val="auto"/>
        </w:rPr>
        <w:t>HMRC</w:t>
      </w:r>
      <w:r>
        <w:rPr>
          <w:rFonts w:ascii="Arial" w:cs="Arial" w:eastAsia="Arial" w:hAnsi="Arial"/>
          <w:sz w:val="16"/>
          <w:szCs w:val="16"/>
          <w:color w:val="auto"/>
        </w:rPr>
        <w:t>”) (or any other tax authority or any other relevant authority). The Employee also hereby agrees to indemnify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399" w:right="339" w:bottom="1440" w:gutter="0" w:footer="0" w:header="0"/>
        </w:sectPr>
      </w:pPr>
    </w:p>
    <w:bookmarkStart w:id="193" w:name="page194"/>
    <w:bookmarkEnd w:id="193"/>
    <w:p>
      <w:pPr>
        <w:ind w:right="100"/>
        <w:spacing w:after="0" w:line="242" w:lineRule="auto"/>
        <w:rPr>
          <w:sz w:val="20"/>
          <w:szCs w:val="20"/>
          <w:color w:val="auto"/>
        </w:rPr>
      </w:pPr>
      <w:r>
        <w:rPr>
          <w:rFonts w:ascii="Arial" w:cs="Arial" w:eastAsia="Arial" w:hAnsi="Arial"/>
          <w:sz w:val="19"/>
          <w:szCs w:val="19"/>
          <w:color w:val="auto"/>
        </w:rPr>
        <w:t>and keep indemnified the Company and the Employer, as applicable, against any Tax-Related Items that they are required to pay or withhold or have paid or will pay to HMRC (or any other tax authority or any other relevant authority) on the Employee’s behalf.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the Employee is a director or executive officer of the Company (within the meaning of Section 13(k) of the</w:t>
      </w:r>
    </w:p>
    <w:p>
      <w:pPr>
        <w:spacing w:after="0"/>
        <w:rPr>
          <w:sz w:val="20"/>
          <w:szCs w:val="20"/>
          <w:color w:val="auto"/>
        </w:rPr>
      </w:pPr>
      <w:r>
        <w:rPr>
          <w:rFonts w:ascii="Arial" w:cs="Arial" w:eastAsia="Arial" w:hAnsi="Arial"/>
          <w:sz w:val="16"/>
          <w:szCs w:val="16"/>
          <w:color w:val="auto"/>
        </w:rPr>
        <w:t>Exchange Act), the Employee understands that he or she may not be able to indemnify the Company for the amount of any Tax-Related Items</w:t>
      </w:r>
    </w:p>
    <w:p>
      <w:pPr>
        <w:spacing w:after="0" w:line="224" w:lineRule="auto"/>
        <w:rPr>
          <w:sz w:val="20"/>
          <w:szCs w:val="20"/>
          <w:color w:val="auto"/>
        </w:rPr>
      </w:pPr>
      <w:r>
        <w:rPr>
          <w:rFonts w:ascii="Arial" w:cs="Arial" w:eastAsia="Arial" w:hAnsi="Arial"/>
          <w:sz w:val="18"/>
          <w:szCs w:val="18"/>
          <w:color w:val="auto"/>
        </w:rPr>
        <w:t>not collected from or paid by the Employee, in case the indemnification could be considered to be a loan. In this case, the Tax-Related Items</w:t>
      </w:r>
    </w:p>
    <w:p>
      <w:pPr>
        <w:spacing w:after="0" w:line="208" w:lineRule="auto"/>
        <w:rPr>
          <w:sz w:val="20"/>
          <w:szCs w:val="20"/>
          <w:color w:val="auto"/>
        </w:rPr>
      </w:pPr>
      <w:r>
        <w:rPr>
          <w:rFonts w:ascii="Arial" w:cs="Arial" w:eastAsia="Arial" w:hAnsi="Arial"/>
          <w:sz w:val="19"/>
          <w:szCs w:val="19"/>
          <w:color w:val="auto"/>
        </w:rPr>
        <w:t>not collected or paid may constitute a benefit to the Employee on which additional income tax and National Insurance Contributions</w:t>
      </w:r>
    </w:p>
    <w:p>
      <w:pPr>
        <w:spacing w:after="0" w:line="21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NICs</w:t>
      </w:r>
      <w:r>
        <w:rPr>
          <w:rFonts w:ascii="Arial" w:cs="Arial" w:eastAsia="Arial" w:hAnsi="Arial"/>
          <w:sz w:val="18"/>
          <w:szCs w:val="18"/>
          <w:color w:val="auto"/>
        </w:rPr>
        <w:t>”) may be payable. The Employee understands that he or she will be responsible for reporting and paying any income tax due on this</w:t>
      </w:r>
    </w:p>
    <w:p>
      <w:pPr>
        <w:spacing w:after="0" w:line="219" w:lineRule="auto"/>
        <w:rPr>
          <w:sz w:val="20"/>
          <w:szCs w:val="20"/>
          <w:color w:val="auto"/>
        </w:rPr>
      </w:pPr>
      <w:r>
        <w:rPr>
          <w:rFonts w:ascii="Arial" w:cs="Arial" w:eastAsia="Arial" w:hAnsi="Arial"/>
          <w:sz w:val="18"/>
          <w:szCs w:val="18"/>
          <w:color w:val="auto"/>
        </w:rPr>
        <w:t>additional benefit directly to HMRC under the self-assessment regime and for paying to the Company and/or the Employer (as appropriate)</w:t>
      </w:r>
    </w:p>
    <w:p>
      <w:pPr>
        <w:spacing w:after="0" w:line="219" w:lineRule="auto"/>
        <w:rPr>
          <w:sz w:val="20"/>
          <w:szCs w:val="20"/>
          <w:color w:val="auto"/>
        </w:rPr>
      </w:pPr>
      <w:r>
        <w:rPr>
          <w:rFonts w:ascii="Arial" w:cs="Arial" w:eastAsia="Arial" w:hAnsi="Arial"/>
          <w:sz w:val="18"/>
          <w:szCs w:val="18"/>
          <w:color w:val="auto"/>
        </w:rPr>
        <w:t>the amount of any NICs due on this additional benefit, which may also be recovered from the Employee by any of the means referred to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paragraph 5 of the Agreement.</w:t>
      </w:r>
    </w:p>
    <w:p>
      <w:pPr>
        <w:spacing w:after="0" w:line="159" w:lineRule="exact"/>
        <w:rPr>
          <w:sz w:val="20"/>
          <w:szCs w:val="20"/>
          <w:color w:val="auto"/>
        </w:rPr>
      </w:pPr>
    </w:p>
    <w:p>
      <w:pPr>
        <w:jc w:val="both"/>
        <w:ind w:right="180"/>
        <w:spacing w:after="0" w:line="218" w:lineRule="auto"/>
        <w:rPr>
          <w:sz w:val="20"/>
          <w:szCs w:val="20"/>
          <w:color w:val="auto"/>
        </w:rPr>
      </w:pPr>
      <w:r>
        <w:rPr>
          <w:rFonts w:ascii="Arial" w:cs="Arial" w:eastAsia="Arial" w:hAnsi="Arial"/>
          <w:sz w:val="20"/>
          <w:szCs w:val="20"/>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80"/>
        <w:spacing w:after="0" w:line="226" w:lineRule="auto"/>
        <w:rPr>
          <w:sz w:val="20"/>
          <w:szCs w:val="20"/>
          <w:color w:val="auto"/>
        </w:rPr>
      </w:pPr>
      <w:r>
        <w:rPr>
          <w:rFonts w:ascii="Arial" w:cs="Arial" w:eastAsia="Arial" w:hAnsi="Arial"/>
          <w:sz w:val="19"/>
          <w:szCs w:val="19"/>
          <w:b w:val="1"/>
          <w:bCs w:val="1"/>
          <w:color w:val="auto"/>
        </w:rPr>
        <w:t>Foreign Asset/Accounting Reporting Information</w:t>
      </w:r>
      <w:r>
        <w:rPr>
          <w:rFonts w:ascii="Arial" w:cs="Arial" w:eastAsia="Arial" w:hAnsi="Arial"/>
          <w:sz w:val="19"/>
          <w:szCs w:val="19"/>
          <w:color w:val="auto"/>
        </w:rPr>
        <w:t>. If the Employee holds assets (</w:t>
      </w:r>
      <w:r>
        <w:rPr>
          <w:rFonts w:ascii="Arial" w:cs="Arial" w:eastAsia="Arial" w:hAnsi="Arial"/>
          <w:sz w:val="19"/>
          <w:szCs w:val="19"/>
          <w:i w:val="1"/>
          <w:iCs w:val="1"/>
          <w:color w:val="auto"/>
        </w:rPr>
        <w:t>i.e</w:t>
      </w:r>
      <w:r>
        <w:rPr>
          <w:rFonts w:ascii="Arial" w:cs="Arial" w:eastAsia="Arial" w:hAnsi="Arial"/>
          <w:sz w:val="19"/>
          <w:szCs w:val="19"/>
          <w:color w:val="auto"/>
        </w:rPr>
        <w:t>., Deferred Stock Units or Common Stock)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Employee understands that the Data will be collected by the Employer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Investment Representation. </w:t>
      </w:r>
      <w:r>
        <w:rPr>
          <w:rFonts w:ascii="Arial" w:cs="Arial" w:eastAsia="Arial" w:hAnsi="Arial"/>
          <w:sz w:val="18"/>
          <w:szCs w:val="18"/>
          <w:color w:val="auto"/>
        </w:rPr>
        <w:t>As a condition of the grant of the Deferred Stock Units, the Employee acknowledges and agrees that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the Employee may acquire upon the settlement of the Deferred Stock Units are acquired as and intended to be an investment rather than for the resale of the shares of Common Stock and conversion of shares into foreign currency.</w:t>
      </w:r>
    </w:p>
    <w:p>
      <w:pPr>
        <w:spacing w:after="0" w:line="14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vest in the Deferred Stock Units or remit funds into</w:t>
      </w:r>
      <w:r>
        <w:rPr>
          <w:rFonts w:ascii="Arial" w:cs="Arial" w:eastAsia="Arial" w:hAnsi="Arial"/>
          <w:sz w:val="18"/>
          <w:szCs w:val="18"/>
          <w:b w:val="1"/>
          <w:bCs w:val="1"/>
          <w:color w:val="auto"/>
        </w:rPr>
        <w:t xml:space="preserve"> </w:t>
      </w:r>
      <w:r>
        <w:rPr>
          <w:rFonts w:ascii="Arial" w:cs="Arial" w:eastAsia="Arial" w:hAnsi="Arial"/>
          <w:sz w:val="18"/>
          <w:szCs w:val="18"/>
          <w:color w:val="auto"/>
        </w:rPr>
        <w:t>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405" w:right="339" w:bottom="1440" w:gutter="0" w:footer="0" w:header="0"/>
        </w:sectPr>
      </w:pPr>
    </w:p>
    <w:bookmarkStart w:id="194" w:name="page195"/>
    <w:bookmarkEnd w:id="194"/>
    <w:p>
      <w:pPr>
        <w:spacing w:after="0" w:line="229" w:lineRule="auto"/>
        <w:rPr>
          <w:sz w:val="20"/>
          <w:szCs w:val="20"/>
          <w:color w:val="auto"/>
        </w:rPr>
      </w:pPr>
      <w:r>
        <w:rPr>
          <w:rFonts w:ascii="Arial" w:cs="Arial" w:eastAsia="Arial" w:hAnsi="Arial"/>
          <w:sz w:val="20"/>
          <w:szCs w:val="20"/>
          <w:color w:val="auto"/>
        </w:rPr>
        <w:t>change frequently and without notice, the Employee should consult with his or her personal legal advisor before accepting the Deferred Stock Units to ensure compliance with current regulations.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69" w:lineRule="exact"/>
        <w:rPr>
          <w:sz w:val="20"/>
          <w:szCs w:val="20"/>
          <w:color w:val="auto"/>
        </w:rPr>
      </w:pPr>
    </w:p>
    <w:p>
      <w:pPr>
        <w:ind w:right="240"/>
        <w:spacing w:after="0" w:line="249"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granted under the Plan and the shares of Common Stock issued under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as a personal, private, exclusive transaction and are not subject to Venezuelan government securities regulations.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69" w:lineRule="exact"/>
        <w:rPr>
          <w:sz w:val="20"/>
          <w:szCs w:val="20"/>
          <w:color w:val="auto"/>
        </w:rPr>
      </w:pPr>
    </w:p>
    <w:p>
      <w:pPr>
        <w:spacing w:after="0" w:line="226" w:lineRule="auto"/>
        <w:rPr>
          <w:sz w:val="20"/>
          <w:szCs w:val="20"/>
          <w:color w:val="auto"/>
        </w:rPr>
      </w:pPr>
      <w:r>
        <w:rPr>
          <w:rFonts w:ascii="Arial" w:cs="Arial" w:eastAsia="Arial" w:hAnsi="Arial"/>
          <w:sz w:val="19"/>
          <w:szCs w:val="19"/>
          <w:b w:val="1"/>
          <w:bCs w:val="1"/>
          <w:color w:val="auto"/>
        </w:rPr>
        <w:t xml:space="preserve">Deferred Stock Units Payable Only in Cash. </w:t>
      </w:r>
      <w:r>
        <w:rPr>
          <w:rFonts w:ascii="Arial" w:cs="Arial" w:eastAsia="Arial" w:hAnsi="Arial"/>
          <w:sz w:val="19"/>
          <w:szCs w:val="19"/>
          <w:color w:val="auto"/>
        </w:rPr>
        <w:t>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1405"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6"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2022,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26,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2022,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26, 2022</w:t>
      </w:r>
    </w:p>
    <w:p>
      <w:pPr>
        <w:spacing w:after="0" w:line="3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1)"/>
      <w:numFmt w:val="decimal"/>
      <w:start w:val="1"/>
    </w:lvl>
  </w:abstractNum>
  <w:abstractNum w:abstractNumId="5">
    <w:nsid w:val="649BB77C"/>
    <w:multiLevelType w:val="hybridMultilevel"/>
    <w:lvl w:ilvl="0">
      <w:lvlJc w:val="left"/>
      <w:lvlText w:val="(%1)"/>
      <w:numFmt w:val="decimal"/>
      <w:start w:val="2"/>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1)"/>
      <w:numFmt w:val="decimal"/>
      <w:start w:val="1"/>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1)"/>
      <w:numFmt w:val="decimal"/>
      <w:start w:val="1"/>
    </w:lvl>
  </w:abstractNum>
  <w:abstractNum w:abstractNumId="11">
    <w:nsid w:val="47398C89"/>
    <w:multiLevelType w:val="hybridMultilevel"/>
    <w:lvl w:ilvl="0">
      <w:lvlJc w:val="left"/>
      <w:lvlText w:val="(%1)"/>
      <w:numFmt w:val="decimal"/>
      <w:start w:val="2"/>
    </w:lvl>
  </w:abstractNum>
  <w:abstractNum w:abstractNumId="12">
    <w:nsid w:val="354FE9F9"/>
    <w:multiLevelType w:val="hybridMultilevel"/>
    <w:lvl w:ilvl="0">
      <w:lvlJc w:val="left"/>
      <w:lvlText w:val="(%1)"/>
      <w:numFmt w:val="decimal"/>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1)"/>
      <w:numFmt w:val="decimal"/>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1)"/>
      <w:numFmt w:val="decimal"/>
      <w:start w:val="1"/>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1)"/>
      <w:numFmt w:val="decimal"/>
      <w:start w:val="3"/>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lvl w:ilvl="1">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1)"/>
      <w:numFmt w:val="decimal"/>
      <w:start w:val="9"/>
    </w:lvl>
  </w:abstractNum>
  <w:abstractNum w:abstractNumId="32">
    <w:nsid w:val="6590700B"/>
    <w:multiLevelType w:val="hybridMultilevel"/>
    <w:lvl w:ilvl="0">
      <w:lvlJc w:val="left"/>
      <w:lvlText w:val="(%1)"/>
      <w:numFmt w:val="decimal"/>
      <w:start w:val="1"/>
    </w:lvl>
  </w:abstractNum>
  <w:abstractNum w:abstractNumId="33">
    <w:nsid w:val="15014ACB"/>
    <w:multiLevelType w:val="hybridMultilevel"/>
    <w:lvl w:ilvl="0">
      <w:lvlJc w:val="left"/>
      <w:lvlText w:val="(%1)"/>
      <w:numFmt w:val="decimal"/>
      <w:start w:val="1"/>
    </w:lvl>
    <w:lvl w:ilvl="1">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1)"/>
      <w:numFmt w:val="decimal"/>
      <w:start w:val="1"/>
    </w:lvl>
  </w:abstractNum>
  <w:abstractNum w:abstractNumId="36">
    <w:nsid w:val="799D0247"/>
    <w:multiLevelType w:val="hybridMultilevel"/>
    <w:lvl w:ilvl="0">
      <w:lvlJc w:val="left"/>
      <w:lvlText w:val="%1"/>
      <w:numFmt w:val="decimal"/>
      <w:start w:val="101"/>
    </w:lvl>
  </w:abstractNum>
  <w:abstractNum w:abstractNumId="37">
    <w:nsid w:val="6B94764"/>
    <w:multiLevelType w:val="hybridMultilevel"/>
    <w:lvl w:ilvl="0">
      <w:lvlJc w:val="left"/>
      <w:lvlText w:val="%1"/>
      <w:numFmt w:val="decimal"/>
      <w:start w:val="104"/>
    </w:lvl>
  </w:abstractNum>
  <w:abstractNum w:abstractNumId="38">
    <w:nsid w:val="42C296BD"/>
    <w:multiLevelType w:val="hybridMultilevel"/>
    <w:lvl w:ilvl="0">
      <w:lvlJc w:val="left"/>
      <w:lvlText w:val="%1."/>
      <w:numFmt w:val="decimal"/>
      <w:start w:val="1"/>
    </w:lvl>
    <w:lvl w:ilvl="1">
      <w:lvlJc w:val="left"/>
      <w:lvlText w:val="(%2)"/>
      <w:numFmt w:val="lowerLetter"/>
      <w:start w:val="1"/>
    </w:lvl>
  </w:abstractNum>
  <w:abstractNum w:abstractNumId="39">
    <w:nsid w:val="168E121F"/>
    <w:multiLevelType w:val="hybridMultilevel"/>
    <w:lvl w:ilvl="0">
      <w:lvlJc w:val="left"/>
      <w:lvlText w:val="(%1)"/>
      <w:numFmt w:val="lowerLetter"/>
      <w:start w:val="3"/>
    </w:lvl>
  </w:abstractNum>
  <w:abstractNum w:abstractNumId="40">
    <w:nsid w:val="1EBA5D23"/>
    <w:multiLevelType w:val="hybridMultilevel"/>
    <w:lvl w:ilvl="0">
      <w:lvlJc w:val="left"/>
      <w:lvlText w:val="%1."/>
      <w:numFmt w:val="decimal"/>
      <w:start w:val="4"/>
    </w:lvl>
    <w:lvl w:ilvl="1">
      <w:lvlJc w:val="left"/>
      <w:lvlText w:val="(%2)"/>
      <w:numFmt w:val="lowerLetter"/>
      <w:start w:val="1"/>
    </w:lvl>
  </w:abstractNum>
  <w:abstractNum w:abstractNumId="41">
    <w:nsid w:val="661E3F1E"/>
    <w:multiLevelType w:val="hybridMultilevel"/>
    <w:lvl w:ilvl="0">
      <w:lvlJc w:val="left"/>
      <w:lvlText w:val="%1."/>
      <w:numFmt w:val="decimal"/>
      <w:start w:val="5"/>
    </w:lvl>
    <w:lvl w:ilvl="1">
      <w:lvlJc w:val="left"/>
      <w:lvlText w:val="(%2)"/>
      <w:numFmt w:val="lowerLetter"/>
      <w:start w:val="1"/>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1)"/>
      <w:numFmt w:val="lowerLetter"/>
      <w:start w:val="2"/>
    </w:lvl>
    <w:lvl w:ilvl="1">
      <w:lvlJc w:val="left"/>
      <w:lvlText w:val="%2."/>
      <w:numFmt w:val="decimal"/>
      <w:start w:val="1"/>
    </w:lvl>
  </w:abstractNum>
  <w:abstractNum w:abstractNumId="44">
    <w:nsid w:val="7BD3EE7B"/>
    <w:multiLevelType w:val="hybridMultilevel"/>
    <w:lvl w:ilvl="0">
      <w:lvlJc w:val="left"/>
      <w:lvlText w:val="%1"/>
      <w:numFmt w:val="lowerLetter"/>
      <w:start w:val="1"/>
    </w:lvl>
    <w:lvl w:ilvl="1">
      <w:lvlJc w:val="left"/>
      <w:lvlText w:val="%2."/>
      <w:numFmt w:val="decimal"/>
      <w:start w:val="3"/>
    </w:lvl>
  </w:abstractNum>
  <w:abstractNum w:abstractNumId="45">
    <w:nsid w:val="51D9C564"/>
    <w:multiLevelType w:val="hybridMultilevel"/>
    <w:lvl w:ilvl="0">
      <w:lvlJc w:val="left"/>
      <w:lvlText w:val="(%1)"/>
      <w:numFmt w:val="lowerLetter"/>
      <w:start w:val="3"/>
    </w:lvl>
    <w:lvl w:ilvl="1">
      <w:lvlJc w:val="left"/>
      <w:lvlText w:val="%2"/>
      <w:numFmt w:val="decimal"/>
      <w:start w:val="1"/>
    </w:lvl>
  </w:abstractNum>
  <w:abstractNum w:abstractNumId="46">
    <w:nsid w:val="613EFDC5"/>
    <w:multiLevelType w:val="hybridMultilevel"/>
    <w:lvl w:ilvl="0">
      <w:lvlJc w:val="left"/>
      <w:lvlText w:val="%1."/>
      <w:numFmt w:val="decimal"/>
      <w:start w:val="7"/>
    </w:lvl>
  </w:abstractNum>
  <w:abstractNum w:abstractNumId="47">
    <w:nsid w:val="BF72B14"/>
    <w:multiLevelType w:val="hybridMultilevel"/>
    <w:lvl w:ilvl="0">
      <w:lvlJc w:val="left"/>
      <w:lvlText w:val="(%1)"/>
      <w:numFmt w:val="lowerLetter"/>
      <w:start w:val="1"/>
    </w:lvl>
  </w:abstractNum>
  <w:abstractNum w:abstractNumId="48">
    <w:nsid w:val="11447B73"/>
    <w:multiLevelType w:val="hybridMultilevel"/>
    <w:lvl w:ilvl="0">
      <w:lvlJc w:val="left"/>
      <w:lvlText w:val="%1"/>
      <w:numFmt w:val="decimal"/>
      <w:start w:val="1"/>
    </w:lvl>
    <w:lvl w:ilvl="1">
      <w:lvlJc w:val="left"/>
      <w:lvlText w:val="(%2)"/>
      <w:numFmt w:val="lowerLetter"/>
      <w:start w:val="15"/>
    </w:lvl>
  </w:abstractNum>
  <w:abstractNum w:abstractNumId="49">
    <w:nsid w:val="42963E5A"/>
    <w:multiLevelType w:val="hybridMultilevel"/>
    <w:lvl w:ilvl="0">
      <w:lvlJc w:val="left"/>
      <w:lvlText w:val="%1."/>
      <w:numFmt w:val="decimal"/>
      <w:start w:val="13"/>
    </w:lvl>
    <w:lvl w:ilvl="1">
      <w:lvlJc w:val="left"/>
      <w:lvlText w:val="%2"/>
      <w:numFmt w:val="lowerLetter"/>
      <w:start w:val="1"/>
    </w:lvl>
  </w:abstractNum>
  <w:abstractNum w:abstractNumId="50">
    <w:nsid w:val="A0382C5"/>
    <w:multiLevelType w:val="hybridMultilevel"/>
    <w:lvl w:ilvl="0">
      <w:lvlJc w:val="left"/>
      <w:lvlText w:val="%1."/>
      <w:numFmt w:val="decimal"/>
      <w:start w:val="14"/>
    </w:lvl>
  </w:abstractNum>
  <w:abstractNum w:abstractNumId="51">
    <w:nsid w:val="8F2B15E"/>
    <w:multiLevelType w:val="hybridMultilevel"/>
    <w:lvl w:ilvl="0">
      <w:lvlJc w:val="left"/>
      <w:lvlText w:val="%1."/>
      <w:numFmt w:val="decimal"/>
      <w:start w:val="16"/>
    </w:lvl>
  </w:abstractNum>
  <w:abstractNum w:abstractNumId="52">
    <w:nsid w:val="1A32234B"/>
    <w:multiLevelType w:val="hybridMultilevel"/>
    <w:lvl w:ilvl="0">
      <w:lvlJc w:val="left"/>
      <w:lvlText w:val="(%1)"/>
      <w:numFmt w:val="lowerRoman"/>
      <w:start w:val="2"/>
    </w:lvl>
    <w:lvl w:ilvl="1">
      <w:lvlJc w:val="left"/>
      <w:lvlText w:val="%2."/>
      <w:numFmt w:val="decimal"/>
      <w:start w:val="19"/>
    </w:lvl>
  </w:abstractNum>
  <w:abstractNum w:abstractNumId="53">
    <w:nsid w:val="3B0FD379"/>
    <w:multiLevelType w:val="hybridMultilevel"/>
    <w:lvl w:ilvl="0">
      <w:lvlJc w:val="left"/>
      <w:lvlText w:val="%1."/>
      <w:numFmt w:val="decimal"/>
      <w:start w:val="26"/>
    </w:lvl>
  </w:abstractNum>
  <w:abstractNum w:abstractNumId="54">
    <w:nsid w:val="68EB2F63"/>
    <w:multiLevelType w:val="hybridMultilevel"/>
    <w:lvl w:ilvl="0">
      <w:lvlJc w:val="left"/>
      <w:lvlText w:val="%1."/>
      <w:numFmt w:val="decimal"/>
      <w:start w:val="1"/>
    </w:lvl>
  </w:abstractNum>
  <w:abstractNum w:abstractNumId="55">
    <w:nsid w:val="4962813B"/>
    <w:multiLevelType w:val="hybridMultilevel"/>
    <w:lvl w:ilvl="0">
      <w:lvlJc w:val="left"/>
      <w:lvlText w:val="%1."/>
      <w:numFmt w:val="decimal"/>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2"/>
    </w:lvl>
  </w:abstractNum>
  <w:abstractNum w:abstractNumId="58">
    <w:nsid w:val="14330624"/>
    <w:multiLevelType w:val="hybridMultilevel"/>
    <w:lvl w:ilvl="0">
      <w:lvlJc w:val="left"/>
      <w:lvlText w:val="(%1)"/>
      <w:numFmt w:val="lowerLetter"/>
      <w:start w:val="4"/>
    </w:lvl>
  </w:abstractNum>
  <w:abstractNum w:abstractNumId="59">
    <w:nsid w:val="7FFFCA11"/>
    <w:multiLevelType w:val="hybridMultilevel"/>
    <w:lvl w:ilvl="0">
      <w:lvlJc w:val="left"/>
      <w:lvlText w:val="(%1)"/>
      <w:numFmt w:val="lowerLetter"/>
      <w:start w:val="6"/>
    </w:lvl>
  </w:abstractNum>
  <w:abstractNum w:abstractNumId="60">
    <w:nsid w:val="1A27709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1">
    <w:nsid w:val="71EA1109"/>
    <w:multiLevelType w:val="hybridMultilevel"/>
    <w:lvl w:ilvl="0">
      <w:lvlJc w:val="left"/>
      <w:lvlText w:val="%1"/>
      <w:numFmt w:val="lowerRoman"/>
      <w:start w:val="1"/>
    </w:lvl>
    <w:lvl w:ilvl="1">
      <w:lvlJc w:val="left"/>
      <w:lvlText w:val="(%2)"/>
      <w:numFmt w:val="upperLetter"/>
      <w:start w:val="1"/>
    </w:lvl>
  </w:abstractNum>
  <w:abstractNum w:abstractNumId="62">
    <w:nsid w:val="100F59DC"/>
    <w:multiLevelType w:val="hybridMultilevel"/>
    <w:lvl w:ilvl="0">
      <w:lvlJc w:val="left"/>
      <w:lvlText w:val="(%1)"/>
      <w:numFmt w:val="lowerRoman"/>
      <w:start w:val="3"/>
    </w:lvl>
    <w:lvl w:ilvl="1">
      <w:lvlJc w:val="left"/>
      <w:lvlText w:val="%2"/>
      <w:numFmt w:val="upperLetter"/>
      <w:start w:val="1"/>
    </w:lvl>
  </w:abstractNum>
  <w:abstractNum w:abstractNumId="63">
    <w:nsid w:val="7FB7E0A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5">
    <w:nsid w:val="6F6DD9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66">
    <w:nsid w:val="94211F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7">
    <w:nsid w:val="885E1B"/>
    <w:multiLevelType w:val="hybridMultilevel"/>
    <w:lvl w:ilvl="0">
      <w:lvlJc w:val="left"/>
      <w:lvlText w:val="%1."/>
      <w:numFmt w:val="decimal"/>
      <w:start w:val="1"/>
    </w:lvl>
  </w:abstractNum>
  <w:abstractNum w:abstractNumId="68">
    <w:nsid w:val="76272110"/>
    <w:multiLevelType w:val="hybridMultilevel"/>
    <w:lvl w:ilvl="0">
      <w:lvlJc w:val="left"/>
      <w:lvlText w:val="(%1)"/>
      <w:numFmt w:val="lowerLetter"/>
      <w:start w:val="2"/>
    </w:lvl>
    <w:lvl w:ilvl="1">
      <w:lvlJc w:val="left"/>
      <w:lvlText w:val="%2."/>
      <w:numFmt w:val="decimal"/>
      <w:start w:val="1"/>
    </w:lvl>
  </w:abstractNum>
  <w:abstractNum w:abstractNumId="69">
    <w:nsid w:val="4C04A8AF"/>
    <w:multiLevelType w:val="hybridMultilevel"/>
    <w:lvl w:ilvl="0">
      <w:lvlJc w:val="left"/>
      <w:lvlText w:val="%1"/>
      <w:numFmt w:val="lowerLetter"/>
      <w:start w:val="1"/>
    </w:lvl>
    <w:lvl w:ilvl="1">
      <w:lvlJc w:val="left"/>
      <w:lvlText w:val="%2."/>
      <w:numFmt w:val="decimal"/>
      <w:start w:val="2"/>
    </w:lvl>
  </w:abstractNum>
  <w:abstractNum w:abstractNumId="70">
    <w:nsid w:val="1716703B"/>
    <w:multiLevelType w:val="hybridMultilevel"/>
    <w:lvl w:ilvl="0">
      <w:lvlJc w:val="left"/>
      <w:lvlText w:val="(%1)"/>
      <w:numFmt w:val="lowerLetter"/>
      <w:start w:val="3"/>
    </w:lvl>
    <w:lvl w:ilvl="1">
      <w:lvlJc w:val="left"/>
      <w:lvlText w:val="%2"/>
      <w:numFmt w:val="decimal"/>
      <w:start w:val="1"/>
    </w:lvl>
  </w:abstractNum>
  <w:abstractNum w:abstractNumId="71">
    <w:nsid w:val="14E17E33"/>
    <w:multiLevelType w:val="hybridMultilevel"/>
    <w:lvl w:ilvl="0">
      <w:lvlJc w:val="left"/>
      <w:lvlText w:val="%1"/>
      <w:numFmt w:val="decimal"/>
      <w:start w:val="1"/>
    </w:lvl>
    <w:lvl w:ilvl="1">
      <w:lvlJc w:val="left"/>
      <w:lvlText w:val="(%2)"/>
      <w:numFmt w:val="lowerLetter"/>
      <w:start w:val="6"/>
    </w:lvl>
  </w:abstractNum>
  <w:abstractNum w:abstractNumId="72">
    <w:nsid w:val="3222E7CD"/>
    <w:multiLevelType w:val="hybridMultilevel"/>
    <w:lvl w:ilvl="0">
      <w:lvlJc w:val="left"/>
      <w:lvlText w:val="%1."/>
      <w:numFmt w:val="decimal"/>
      <w:start w:val="7"/>
    </w:lvl>
    <w:lvl w:ilvl="1">
      <w:lvlJc w:val="left"/>
      <w:lvlText w:val="%2"/>
      <w:numFmt w:val="lowerLetter"/>
      <w:start w:val="1"/>
    </w:lvl>
  </w:abstractNum>
  <w:abstractNum w:abstractNumId="73">
    <w:nsid w:val="74DE0EE3"/>
    <w:multiLevelType w:val="hybridMultilevel"/>
    <w:lvl w:ilvl="0">
      <w:lvlJc w:val="left"/>
      <w:lvlText w:val="%1."/>
      <w:numFmt w:val="decimal"/>
      <w:start w:val="9"/>
    </w:lvl>
    <w:lvl w:ilvl="1">
      <w:lvlJc w:val="left"/>
      <w:lvlText w:val="(%2)"/>
      <w:numFmt w:val="lowerLetter"/>
      <w:start w:val="1"/>
    </w:lvl>
  </w:abstractNum>
  <w:abstractNum w:abstractNumId="74">
    <w:nsid w:val="68EBC550"/>
    <w:multiLevelType w:val="hybridMultilevel"/>
    <w:lvl w:ilvl="0">
      <w:lvlJc w:val="left"/>
      <w:lvlText w:val="%1"/>
      <w:numFmt w:val="decimal"/>
      <w:start w:val="1"/>
    </w:lvl>
    <w:lvl w:ilvl="1">
      <w:lvlJc w:val="left"/>
      <w:lvlText w:val="(%2)"/>
      <w:numFmt w:val="lowerLetter"/>
      <w:start w:val="9"/>
    </w:lvl>
  </w:abstractNum>
  <w:abstractNum w:abstractNumId="75">
    <w:nsid w:val="2DF6D648"/>
    <w:multiLevelType w:val="hybridMultilevel"/>
    <w:lvl w:ilvl="0">
      <w:lvlJc w:val="left"/>
      <w:lvlText w:val="%1."/>
      <w:numFmt w:val="decimal"/>
      <w:start w:val="10"/>
    </w:lvl>
    <w:lvl w:ilvl="1">
      <w:lvlJc w:val="left"/>
      <w:lvlText w:val="%2"/>
      <w:numFmt w:val="lowerLetter"/>
      <w:start w:val="1"/>
    </w:lvl>
  </w:abstractNum>
  <w:abstractNum w:abstractNumId="76">
    <w:nsid w:val="46B7D447"/>
    <w:multiLevelType w:val="hybridMultilevel"/>
    <w:lvl w:ilvl="0">
      <w:lvlJc w:val="left"/>
      <w:lvlText w:val="%1."/>
      <w:numFmt w:val="decimal"/>
      <w:start w:val="11"/>
    </w:lvl>
  </w:abstractNum>
  <w:abstractNum w:abstractNumId="77">
    <w:nsid w:val="4A2AC315"/>
    <w:multiLevelType w:val="hybridMultilevel"/>
    <w:lvl w:ilvl="0">
      <w:lvlJc w:val="left"/>
      <w:lvlText w:val="%1."/>
      <w:numFmt w:val="decimal"/>
      <w:start w:val="15"/>
    </w:lvl>
  </w:abstractNum>
  <w:abstractNum w:abstractNumId="78">
    <w:nsid w:val="39EE015C"/>
    <w:multiLevelType w:val="hybridMultilevel"/>
    <w:lvl w:ilvl="0">
      <w:lvlJc w:val="left"/>
      <w:lvlText w:val="%1."/>
      <w:numFmt w:val="decimal"/>
      <w:start w:val="21"/>
    </w:lvl>
  </w:abstractNum>
  <w:abstractNum w:abstractNumId="79">
    <w:nsid w:val="57FC4FBB"/>
    <w:multiLevelType w:val="hybridMultilevel"/>
    <w:lvl w:ilvl="0">
      <w:lvlJc w:val="left"/>
      <w:lvlText w:val="%1."/>
      <w:numFmt w:val="decimal"/>
      <w:start w:val="23"/>
    </w:lvl>
  </w:abstractNum>
  <w:abstractNum w:abstractNumId="80">
    <w:nsid w:val="CC1016F"/>
    <w:multiLevelType w:val="hybridMultilevel"/>
    <w:lvl w:ilvl="0">
      <w:lvlJc w:val="left"/>
      <w:lvlText w:val="%1."/>
      <w:numFmt w:val="decimal"/>
      <w:start w:val="28"/>
    </w:lvl>
  </w:abstractNum>
  <w:abstractNum w:abstractNumId="81">
    <w:nsid w:val="43F18422"/>
    <w:multiLevelType w:val="hybridMultilevel"/>
    <w:lvl w:ilvl="0">
      <w:lvlJc w:val="left"/>
      <w:lvlText w:val="(%1)"/>
      <w:numFmt w:val="lowerRoman"/>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1"/>
    </w:lvl>
    <w:lvl w:ilvl="1">
      <w:lvlJc w:val="left"/>
      <w:lvlText w:val="(%2)"/>
      <w:numFmt w:val="lowerLetter"/>
      <w:start w:val="1"/>
    </w:lvl>
  </w:abstractNum>
  <w:abstractNum w:abstractNumId="84">
    <w:nsid w:val="7F01579B"/>
    <w:multiLevelType w:val="hybridMultilevel"/>
    <w:lvl w:ilvl="0">
      <w:lvlJc w:val="left"/>
      <w:lvlText w:val="%1."/>
      <w:numFmt w:val="decimal"/>
      <w:start w:val="3"/>
    </w:lvl>
  </w:abstractNum>
  <w:abstractNum w:abstractNumId="85">
    <w:nsid w:val="49DA307D"/>
    <w:multiLevelType w:val="hybridMultilevel"/>
    <w:lvl w:ilvl="0">
      <w:lvlJc w:val="left"/>
      <w:lvlText w:val="%1"/>
      <w:numFmt w:val="decimal"/>
      <w:start w:val="1"/>
    </w:lvl>
    <w:lvl w:ilvl="1">
      <w:lvlJc w:val="left"/>
      <w:lvlText w:val="%2."/>
      <w:numFmt w:val="decimal"/>
      <w:start w:val="6"/>
    </w:lvl>
  </w:abstractNum>
  <w:abstractNum w:abstractNumId="86">
    <w:nsid w:val="7055A5F5"/>
    <w:multiLevelType w:val="hybridMultilevel"/>
    <w:lvl w:ilvl="0">
      <w:lvlJc w:val="left"/>
      <w:lvlText w:val="%1."/>
      <w:numFmt w:val="decimal"/>
      <w:start w:val="9"/>
    </w:lvl>
    <w:lvl w:ilvl="1">
      <w:lvlJc w:val="left"/>
      <w:lvlText w:val="%2"/>
      <w:numFmt w:val="decimal"/>
      <w:start w:val="1"/>
    </w:lvl>
  </w:abstractNum>
  <w:abstractNum w:abstractNumId="87">
    <w:nsid w:val="5FB8370B"/>
    <w:multiLevelType w:val="hybridMultilevel"/>
    <w:lvl w:ilvl="0">
      <w:lvlJc w:val="left"/>
      <w:lvlText w:val="(%1)"/>
      <w:numFmt w:val="lowerLetter"/>
      <w:start w:val="1"/>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lowerLetter"/>
      <w:start w:val="2"/>
    </w:lvl>
    <w:lvl w:ilvl="1">
      <w:lvlJc w:val="left"/>
      <w:lvlText w:val="%2."/>
      <w:numFmt w:val="decimal"/>
      <w:start w:val="1"/>
    </w:lvl>
  </w:abstractNum>
  <w:abstractNum w:abstractNumId="90">
    <w:nsid w:val="5FB8011C"/>
    <w:multiLevelType w:val="hybridMultilevel"/>
    <w:lvl w:ilvl="0">
      <w:lvlJc w:val="left"/>
      <w:lvlText w:val="%1"/>
      <w:numFmt w:val="lowerLetter"/>
      <w:start w:val="1"/>
    </w:lvl>
    <w:lvl w:ilvl="1">
      <w:lvlJc w:val="left"/>
      <w:lvlText w:val="%2."/>
      <w:numFmt w:val="decimal"/>
      <w:start w:val="2"/>
    </w:lvl>
  </w:abstractNum>
  <w:abstractNum w:abstractNumId="91">
    <w:nsid w:val="6AA78F7F"/>
    <w:multiLevelType w:val="hybridMultilevel"/>
    <w:lvl w:ilvl="0">
      <w:lvlJc w:val="left"/>
      <w:lvlText w:val="(%1)"/>
      <w:numFmt w:val="lowerLetter"/>
      <w:start w:val="3"/>
    </w:lvl>
    <w:lvl w:ilvl="1">
      <w:lvlJc w:val="left"/>
      <w:lvlText w:val="%2"/>
      <w:numFmt w:val="decimal"/>
      <w:start w:val="1"/>
    </w:lvl>
  </w:abstractNum>
  <w:abstractNum w:abstractNumId="92">
    <w:nsid w:val="7672BD23"/>
    <w:multiLevelType w:val="hybridMultilevel"/>
    <w:lvl w:ilvl="0">
      <w:lvlJc w:val="left"/>
      <w:lvlText w:val="(%1)"/>
      <w:numFmt w:val="lowerLetter"/>
      <w:start w:val="6"/>
    </w:lvl>
  </w:abstractNum>
  <w:abstractNum w:abstractNumId="93">
    <w:nsid w:val="6FC75AF8"/>
    <w:multiLevelType w:val="hybridMultilevel"/>
    <w:lvl w:ilvl="0">
      <w:lvlJc w:val="left"/>
      <w:lvlText w:val="%1."/>
      <w:numFmt w:val="decimal"/>
      <w:start w:val="10"/>
    </w:lvl>
    <w:lvl w:ilvl="1">
      <w:lvlJc w:val="left"/>
      <w:lvlText w:val="(%2)"/>
      <w:numFmt w:val="lowerLetter"/>
      <w:start w:val="1"/>
    </w:lvl>
  </w:abstractNum>
  <w:abstractNum w:abstractNumId="94">
    <w:nsid w:val="6A5F7029"/>
    <w:multiLevelType w:val="hybridMultilevel"/>
    <w:lvl w:ilvl="0">
      <w:lvlJc w:val="left"/>
      <w:lvlText w:val="%1"/>
      <w:numFmt w:val="decimal"/>
      <w:start w:val="1"/>
    </w:lvl>
    <w:lvl w:ilvl="1">
      <w:lvlJc w:val="left"/>
      <w:lvlText w:val="(%2)"/>
      <w:numFmt w:val="lowerLetter"/>
      <w:start w:val="7"/>
    </w:lvl>
  </w:abstractNum>
  <w:abstractNum w:abstractNumId="95">
    <w:nsid w:val="7D5E18F8"/>
    <w:multiLevelType w:val="hybridMultilevel"/>
    <w:lvl w:ilvl="0">
      <w:lvlJc w:val="left"/>
      <w:lvlText w:val="%1."/>
      <w:numFmt w:val="decimal"/>
      <w:start w:val="14"/>
    </w:lvl>
    <w:lvl w:ilvl="1">
      <w:lvlJc w:val="left"/>
      <w:lvlText w:val="%2"/>
      <w:numFmt w:val="lowerLetter"/>
      <w:start w:val="1"/>
    </w:lvl>
  </w:abstractNum>
  <w:abstractNum w:abstractNumId="96">
    <w:nsid w:val="5F3534A4"/>
    <w:multiLevelType w:val="hybridMultilevel"/>
    <w:lvl w:ilvl="0">
      <w:lvlJc w:val="left"/>
      <w:lvlText w:val="%1."/>
      <w:numFmt w:val="decimal"/>
      <w:start w:val="15"/>
    </w:lvl>
  </w:abstractNum>
  <w:abstractNum w:abstractNumId="97">
    <w:nsid w:val="73A1821B"/>
    <w:multiLevelType w:val="hybridMultilevel"/>
    <w:lvl w:ilvl="0">
      <w:lvlJc w:val="left"/>
      <w:lvlText w:val="%1."/>
      <w:numFmt w:val="decimal"/>
      <w:start w:val="18"/>
    </w:lvl>
  </w:abstractNum>
  <w:abstractNum w:abstractNumId="98">
    <w:nsid w:val="7DE67713"/>
    <w:multiLevelType w:val="hybridMultilevel"/>
    <w:lvl w:ilvl="0">
      <w:lvlJc w:val="left"/>
      <w:lvlText w:val="(%1)"/>
      <w:numFmt w:val="decimal"/>
      <w:start w:val="10"/>
    </w:lvl>
  </w:abstractNum>
  <w:abstractNum w:abstractNumId="99">
    <w:nsid w:val="555C55B5"/>
    <w:multiLevelType w:val="hybridMultilevel"/>
    <w:lvl w:ilvl="0">
      <w:lvlJc w:val="left"/>
      <w:lvlText w:val="%1."/>
      <w:numFmt w:val="decimal"/>
      <w:start w:val="22"/>
    </w:lvl>
  </w:abstractNum>
  <w:abstractNum w:abstractNumId="100">
    <w:nsid w:val="3FA62ACA"/>
    <w:multiLevelType w:val="hybridMultilevel"/>
    <w:lvl w:ilvl="0">
      <w:lvlJc w:val="left"/>
      <w:lvlText w:val="%1."/>
      <w:numFmt w:val="decimal"/>
      <w:start w:val="28"/>
    </w:lvl>
  </w:abstractNum>
  <w:abstractNum w:abstractNumId="101">
    <w:nsid w:val="14FCE74E"/>
    <w:multiLevelType w:val="hybridMultilevel"/>
    <w:lvl w:ilvl="0">
      <w:lvlJc w:val="left"/>
      <w:lvlText w:val="(%1)"/>
      <w:numFmt w:val="lowerRoman"/>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png"/><Relationship Id="rId559" Type="http://schemas.openxmlformats.org/officeDocument/2006/relationships/image" Target="media/image549.png"/><Relationship Id="rId560" Type="http://schemas.openxmlformats.org/officeDocument/2006/relationships/image" Target="media/image550.png"/><Relationship Id="rId561" Type="http://schemas.openxmlformats.org/officeDocument/2006/relationships/image" Target="media/image551.png"/><Relationship Id="rId562" Type="http://schemas.openxmlformats.org/officeDocument/2006/relationships/image" Target="media/image552.png"/><Relationship Id="rId563" Type="http://schemas.openxmlformats.org/officeDocument/2006/relationships/image" Target="media/image553.png"/><Relationship Id="rId564" Type="http://schemas.openxmlformats.org/officeDocument/2006/relationships/image" Target="media/image554.png"/><Relationship Id="rId565" Type="http://schemas.openxmlformats.org/officeDocument/2006/relationships/image" Target="media/image555.pn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pn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png"/><Relationship Id="rId643" Type="http://schemas.openxmlformats.org/officeDocument/2006/relationships/image" Target="media/image633.png"/><Relationship Id="rId644" Type="http://schemas.openxmlformats.org/officeDocument/2006/relationships/image" Target="media/image634.png"/><Relationship Id="rId645" Type="http://schemas.openxmlformats.org/officeDocument/2006/relationships/image" Target="media/image635.png"/><Relationship Id="rId646" Type="http://schemas.openxmlformats.org/officeDocument/2006/relationships/image" Target="media/image636.png"/><Relationship Id="rId647" Type="http://schemas.openxmlformats.org/officeDocument/2006/relationships/image" Target="media/image637.png"/><Relationship Id="rId648" Type="http://schemas.openxmlformats.org/officeDocument/2006/relationships/image" Target="media/image638.png"/><Relationship Id="rId649" Type="http://schemas.openxmlformats.org/officeDocument/2006/relationships/image" Target="media/image639.png"/><Relationship Id="rId650" Type="http://schemas.openxmlformats.org/officeDocument/2006/relationships/image" Target="media/image640.png"/><Relationship Id="rId651" Type="http://schemas.openxmlformats.org/officeDocument/2006/relationships/image" Target="media/image641.png"/><Relationship Id="rId652"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4" Type="http://schemas.openxmlformats.org/officeDocument/2006/relationships/image" Target="media/image654.png"/><Relationship Id="rId665" Type="http://schemas.openxmlformats.org/officeDocument/2006/relationships/image" Target="media/image655.pn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png"/><Relationship Id="rId669" Type="http://schemas.openxmlformats.org/officeDocument/2006/relationships/image" Target="media/image659.png"/><Relationship Id="rId670" Type="http://schemas.openxmlformats.org/officeDocument/2006/relationships/image" Target="media/image660.png"/><Relationship Id="rId671" Type="http://schemas.openxmlformats.org/officeDocument/2006/relationships/image" Target="media/image661.png"/><Relationship Id="rId672" Type="http://schemas.openxmlformats.org/officeDocument/2006/relationships/image" Target="media/image662.png"/><Relationship Id="rId673" Type="http://schemas.openxmlformats.org/officeDocument/2006/relationships/image" Target="media/image663.png"/><Relationship Id="rId674" Type="http://schemas.openxmlformats.org/officeDocument/2006/relationships/image" Target="media/image664.png"/><Relationship Id="rId675" Type="http://schemas.openxmlformats.org/officeDocument/2006/relationships/image" Target="media/image665.png"/><Relationship Id="rId676" Type="http://schemas.openxmlformats.org/officeDocument/2006/relationships/image" Target="media/image666.png"/><Relationship Id="rId677" Type="http://schemas.openxmlformats.org/officeDocument/2006/relationships/image" Target="media/image667.png"/><Relationship Id="rId678" Type="http://schemas.openxmlformats.org/officeDocument/2006/relationships/image" Target="media/image668.png"/><Relationship Id="rId679" Type="http://schemas.openxmlformats.org/officeDocument/2006/relationships/image" Target="media/image669.png"/><Relationship Id="rId680" Type="http://schemas.openxmlformats.org/officeDocument/2006/relationships/image" Target="media/image670.pn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png"/><Relationship Id="rId684" Type="http://schemas.openxmlformats.org/officeDocument/2006/relationships/image" Target="media/image674.png"/><Relationship Id="rId685" Type="http://schemas.openxmlformats.org/officeDocument/2006/relationships/image" Target="media/image675.png"/><Relationship Id="rId686" Type="http://schemas.openxmlformats.org/officeDocument/2006/relationships/image" Target="media/image676.png"/><Relationship Id="rId687" Type="http://schemas.openxmlformats.org/officeDocument/2006/relationships/image" Target="media/image677.png"/><Relationship Id="rId688" Type="http://schemas.openxmlformats.org/officeDocument/2006/relationships/image" Target="media/image678.png"/><Relationship Id="rId689" Type="http://schemas.openxmlformats.org/officeDocument/2006/relationships/image" Target="media/image679.pn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png"/><Relationship Id="rId693" Type="http://schemas.openxmlformats.org/officeDocument/2006/relationships/image" Target="media/image683.png"/><Relationship Id="rId694" Type="http://schemas.openxmlformats.org/officeDocument/2006/relationships/image" Target="media/image684.png"/><Relationship Id="rId695" Type="http://schemas.openxmlformats.org/officeDocument/2006/relationships/image" Target="media/image685.png"/><Relationship Id="rId696" Type="http://schemas.openxmlformats.org/officeDocument/2006/relationships/image" Target="media/image686.png"/><Relationship Id="rId697" Type="http://schemas.openxmlformats.org/officeDocument/2006/relationships/image" Target="media/image687.png"/><Relationship Id="rId698" Type="http://schemas.openxmlformats.org/officeDocument/2006/relationships/image" Target="media/image688.png"/><Relationship Id="rId699" Type="http://schemas.openxmlformats.org/officeDocument/2006/relationships/image" Target="media/image689.png"/><Relationship Id="rId700" Type="http://schemas.openxmlformats.org/officeDocument/2006/relationships/image" Target="media/image690.png"/><Relationship Id="rId701" Type="http://schemas.openxmlformats.org/officeDocument/2006/relationships/image" Target="media/image691.png"/><Relationship Id="rId702" Type="http://schemas.openxmlformats.org/officeDocument/2006/relationships/image" Target="media/image692.png"/><Relationship Id="rId703" Type="http://schemas.openxmlformats.org/officeDocument/2006/relationships/image" Target="media/image693.png"/><Relationship Id="rId704" Type="http://schemas.openxmlformats.org/officeDocument/2006/relationships/image" Target="media/image694.png"/><Relationship Id="rId705" Type="http://schemas.openxmlformats.org/officeDocument/2006/relationships/image" Target="media/image695.png"/><Relationship Id="rId706" Type="http://schemas.openxmlformats.org/officeDocument/2006/relationships/image" Target="media/image696.png"/><Relationship Id="rId707" Type="http://schemas.openxmlformats.org/officeDocument/2006/relationships/image" Target="media/image697.png"/><Relationship Id="rId708"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png"/><Relationship Id="rId713" Type="http://schemas.openxmlformats.org/officeDocument/2006/relationships/image" Target="media/image703.png"/><Relationship Id="rId714" Type="http://schemas.openxmlformats.org/officeDocument/2006/relationships/image" Target="media/image704.png"/><Relationship Id="rId715" Type="http://schemas.openxmlformats.org/officeDocument/2006/relationships/image" Target="media/image705.png"/><Relationship Id="rId716" Type="http://schemas.openxmlformats.org/officeDocument/2006/relationships/image" Target="media/image706.pn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png"/><Relationship Id="rId721" Type="http://schemas.openxmlformats.org/officeDocument/2006/relationships/image" Target="media/image711.png"/><Relationship Id="rId722" Type="http://schemas.openxmlformats.org/officeDocument/2006/relationships/image" Target="media/image712.png"/><Relationship Id="rId723" Type="http://schemas.openxmlformats.org/officeDocument/2006/relationships/image" Target="media/image713.png"/><Relationship Id="rId724" Type="http://schemas.openxmlformats.org/officeDocument/2006/relationships/image" Target="media/image714.png"/><Relationship Id="rId725" Type="http://schemas.openxmlformats.org/officeDocument/2006/relationships/image" Target="media/image715.png"/><Relationship Id="rId726" Type="http://schemas.openxmlformats.org/officeDocument/2006/relationships/image" Target="media/image716.pn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pn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747" Type="http://schemas.openxmlformats.org/officeDocument/2006/relationships/image" Target="media/image737.png"/><Relationship Id="rId748" Type="http://schemas.openxmlformats.org/officeDocument/2006/relationships/image" Target="media/image738.png"/><Relationship Id="rId749" Type="http://schemas.openxmlformats.org/officeDocument/2006/relationships/image" Target="media/image739.png"/><Relationship Id="rId750" Type="http://schemas.openxmlformats.org/officeDocument/2006/relationships/image" Target="media/image740.png"/><Relationship Id="rId751" Type="http://schemas.openxmlformats.org/officeDocument/2006/relationships/image" Target="media/image741.png"/><Relationship Id="rId752" Type="http://schemas.openxmlformats.org/officeDocument/2006/relationships/image" Target="media/image742.png"/><Relationship Id="rId753" Type="http://schemas.openxmlformats.org/officeDocument/2006/relationships/image" Target="media/image743.png"/><Relationship Id="rId754" Type="http://schemas.openxmlformats.org/officeDocument/2006/relationships/image" Target="media/image744.png"/><Relationship Id="rId755" Type="http://schemas.openxmlformats.org/officeDocument/2006/relationships/image" Target="media/image745.png"/><Relationship Id="rId756" Type="http://schemas.openxmlformats.org/officeDocument/2006/relationships/image" Target="media/image746.png"/><Relationship Id="rId757" Type="http://schemas.openxmlformats.org/officeDocument/2006/relationships/image" Target="media/image747.png"/><Relationship Id="rId758" Type="http://schemas.openxmlformats.org/officeDocument/2006/relationships/image" Target="media/image748.png"/><Relationship Id="rId759" Type="http://schemas.openxmlformats.org/officeDocument/2006/relationships/image" Target="media/image749.png"/><Relationship Id="rId760" Type="http://schemas.openxmlformats.org/officeDocument/2006/relationships/image" Target="media/image750.png"/><Relationship Id="rId761" Type="http://schemas.openxmlformats.org/officeDocument/2006/relationships/image" Target="media/image751.png"/><Relationship Id="rId762" Type="http://schemas.openxmlformats.org/officeDocument/2006/relationships/image" Target="media/image752.png"/><Relationship Id="rId763" Type="http://schemas.openxmlformats.org/officeDocument/2006/relationships/image" Target="media/image753.png"/><Relationship Id="rId764" Type="http://schemas.openxmlformats.org/officeDocument/2006/relationships/image" Target="media/image754.png"/><Relationship Id="rId765" Type="http://schemas.openxmlformats.org/officeDocument/2006/relationships/image" Target="media/image755.png"/><Relationship Id="rId766" Type="http://schemas.openxmlformats.org/officeDocument/2006/relationships/image" Target="media/image756.png"/><Relationship Id="rId767" Type="http://schemas.openxmlformats.org/officeDocument/2006/relationships/image" Target="media/image757.png"/><Relationship Id="rId768" Type="http://schemas.openxmlformats.org/officeDocument/2006/relationships/image" Target="media/image758.png"/><Relationship Id="rId769" Type="http://schemas.openxmlformats.org/officeDocument/2006/relationships/image" Target="media/image759.png"/><Relationship Id="rId770" Type="http://schemas.openxmlformats.org/officeDocument/2006/relationships/image" Target="media/image760.png"/><Relationship Id="rId771" Type="http://schemas.openxmlformats.org/officeDocument/2006/relationships/image" Target="media/image761.png"/><Relationship Id="rId772" Type="http://schemas.openxmlformats.org/officeDocument/2006/relationships/image" Target="media/image762.png"/><Relationship Id="rId773" Type="http://schemas.openxmlformats.org/officeDocument/2006/relationships/image" Target="media/image763.png"/><Relationship Id="rId774" Type="http://schemas.openxmlformats.org/officeDocument/2006/relationships/image" Target="media/image764.png"/><Relationship Id="rId775" Type="http://schemas.openxmlformats.org/officeDocument/2006/relationships/image" Target="media/image765.png"/><Relationship Id="rId776" Type="http://schemas.openxmlformats.org/officeDocument/2006/relationships/image" Target="media/image766.png"/><Relationship Id="rId777" Type="http://schemas.openxmlformats.org/officeDocument/2006/relationships/image" Target="media/image767.png"/><Relationship Id="rId778" Type="http://schemas.openxmlformats.org/officeDocument/2006/relationships/image" Target="media/image768.png"/><Relationship Id="rId779" Type="http://schemas.openxmlformats.org/officeDocument/2006/relationships/image" Target="media/image769.png"/><Relationship Id="rId780" Type="http://schemas.openxmlformats.org/officeDocument/2006/relationships/image" Target="media/image770.png"/><Relationship Id="rId781" Type="http://schemas.openxmlformats.org/officeDocument/2006/relationships/image" Target="media/image771.png"/><Relationship Id="rId782" Type="http://schemas.openxmlformats.org/officeDocument/2006/relationships/image" Target="media/image772.png"/><Relationship Id="rId783" Type="http://schemas.openxmlformats.org/officeDocument/2006/relationships/image" Target="media/image773.png"/><Relationship Id="rId784" Type="http://schemas.openxmlformats.org/officeDocument/2006/relationships/image" Target="media/image774.png"/><Relationship Id="rId785" Type="http://schemas.openxmlformats.org/officeDocument/2006/relationships/image" Target="media/image775.png"/><Relationship Id="rId786" Type="http://schemas.openxmlformats.org/officeDocument/2006/relationships/image" Target="media/image776.png"/><Relationship Id="rId787" Type="http://schemas.openxmlformats.org/officeDocument/2006/relationships/image" Target="media/image777.png"/><Relationship Id="rId788" Type="http://schemas.openxmlformats.org/officeDocument/2006/relationships/image" Target="media/image778.png"/><Relationship Id="rId789" Type="http://schemas.openxmlformats.org/officeDocument/2006/relationships/image" Target="media/image779.png"/><Relationship Id="rId790" Type="http://schemas.openxmlformats.org/officeDocument/2006/relationships/image" Target="media/image780.png"/><Relationship Id="rId791" Type="http://schemas.openxmlformats.org/officeDocument/2006/relationships/image" Target="media/image781.png"/><Relationship Id="rId792" Type="http://schemas.openxmlformats.org/officeDocument/2006/relationships/image" Target="media/image782.png"/><Relationship Id="rId793" Type="http://schemas.openxmlformats.org/officeDocument/2006/relationships/image" Target="media/image783.png"/><Relationship Id="rId794" Type="http://schemas.openxmlformats.org/officeDocument/2006/relationships/image" Target="media/image784.png"/><Relationship Id="rId795" Type="http://schemas.openxmlformats.org/officeDocument/2006/relationships/image" Target="media/image785.png"/><Relationship Id="rId796" Type="http://schemas.openxmlformats.org/officeDocument/2006/relationships/image" Target="media/image786.png"/><Relationship Id="rId797" Type="http://schemas.openxmlformats.org/officeDocument/2006/relationships/image" Target="media/image787.png"/><Relationship Id="rId798" Type="http://schemas.openxmlformats.org/officeDocument/2006/relationships/image" Target="media/image788.png"/><Relationship Id="rId799" Type="http://schemas.openxmlformats.org/officeDocument/2006/relationships/image" Target="media/image789.png"/><Relationship Id="rId800" Type="http://schemas.openxmlformats.org/officeDocument/2006/relationships/image" Target="media/image790.png"/><Relationship Id="rId801" Type="http://schemas.openxmlformats.org/officeDocument/2006/relationships/image" Target="media/image791.png"/><Relationship Id="rId802" Type="http://schemas.openxmlformats.org/officeDocument/2006/relationships/image" Target="media/image792.png"/><Relationship Id="rId803" Type="http://schemas.openxmlformats.org/officeDocument/2006/relationships/image" Target="media/image793.png"/><Relationship Id="rId804" Type="http://schemas.openxmlformats.org/officeDocument/2006/relationships/image" Target="media/image794.png"/><Relationship Id="rId805" Type="http://schemas.openxmlformats.org/officeDocument/2006/relationships/image" Target="media/image795.png"/><Relationship Id="rId806" Type="http://schemas.openxmlformats.org/officeDocument/2006/relationships/image" Target="media/image796.png"/><Relationship Id="rId807" Type="http://schemas.openxmlformats.org/officeDocument/2006/relationships/image" Target="media/image797.png"/><Relationship Id="rId808" Type="http://schemas.openxmlformats.org/officeDocument/2006/relationships/image" Target="media/image798.png"/><Relationship Id="rId809" Type="http://schemas.openxmlformats.org/officeDocument/2006/relationships/image" Target="media/image799.png"/><Relationship Id="rId810" Type="http://schemas.openxmlformats.org/officeDocument/2006/relationships/image" Target="media/image800.png"/><Relationship Id="rId811" Type="http://schemas.openxmlformats.org/officeDocument/2006/relationships/image" Target="media/image801.png"/><Relationship Id="rId812" Type="http://schemas.openxmlformats.org/officeDocument/2006/relationships/image" Target="media/image802.png"/><Relationship Id="rId813" Type="http://schemas.openxmlformats.org/officeDocument/2006/relationships/image" Target="media/image803.png"/><Relationship Id="rId814" Type="http://schemas.openxmlformats.org/officeDocument/2006/relationships/image" Target="media/image804.png"/><Relationship Id="rId815" Type="http://schemas.openxmlformats.org/officeDocument/2006/relationships/image" Target="media/image805.png"/><Relationship Id="rId816" Type="http://schemas.openxmlformats.org/officeDocument/2006/relationships/image" Target="media/image806.png"/><Relationship Id="rId817" Type="http://schemas.openxmlformats.org/officeDocument/2006/relationships/image" Target="media/image807.png"/><Relationship Id="rId818" Type="http://schemas.openxmlformats.org/officeDocument/2006/relationships/image" Target="media/image808.png"/><Relationship Id="rId819" Type="http://schemas.openxmlformats.org/officeDocument/2006/relationships/image" Target="media/image809.png"/><Relationship Id="rId820" Type="http://schemas.openxmlformats.org/officeDocument/2006/relationships/image" Target="media/image810.png"/><Relationship Id="rId821" Type="http://schemas.openxmlformats.org/officeDocument/2006/relationships/image" Target="media/image811.png"/><Relationship Id="rId822" Type="http://schemas.openxmlformats.org/officeDocument/2006/relationships/image" Target="media/image812.png"/><Relationship Id="rId823" Type="http://schemas.openxmlformats.org/officeDocument/2006/relationships/image" Target="media/image813.png"/><Relationship Id="rId824" Type="http://schemas.openxmlformats.org/officeDocument/2006/relationships/image" Target="media/image814.png"/><Relationship Id="rId825" Type="http://schemas.openxmlformats.org/officeDocument/2006/relationships/image" Target="media/image815.png"/><Relationship Id="rId826" Type="http://schemas.openxmlformats.org/officeDocument/2006/relationships/image" Target="media/image816.png"/><Relationship Id="rId827" Type="http://schemas.openxmlformats.org/officeDocument/2006/relationships/image" Target="media/image817.png"/><Relationship Id="rId828" Type="http://schemas.openxmlformats.org/officeDocument/2006/relationships/image" Target="media/image818.png"/><Relationship Id="rId829" Type="http://schemas.openxmlformats.org/officeDocument/2006/relationships/image" Target="media/image819.png"/><Relationship Id="rId830" Type="http://schemas.openxmlformats.org/officeDocument/2006/relationships/image" Target="media/image820.png"/><Relationship Id="rId831" Type="http://schemas.openxmlformats.org/officeDocument/2006/relationships/image" Target="media/image821.png"/><Relationship Id="rId832" Type="http://schemas.openxmlformats.org/officeDocument/2006/relationships/image" Target="media/image822.png"/><Relationship Id="rId833" Type="http://schemas.openxmlformats.org/officeDocument/2006/relationships/image" Target="media/image823.png"/><Relationship Id="rId834" Type="http://schemas.openxmlformats.org/officeDocument/2006/relationships/image" Target="media/image824.png"/><Relationship Id="rId835" Type="http://schemas.openxmlformats.org/officeDocument/2006/relationships/image" Target="media/image825.png"/><Relationship Id="rId836" Type="http://schemas.openxmlformats.org/officeDocument/2006/relationships/image" Target="media/image826.png"/><Relationship Id="rId837" Type="http://schemas.openxmlformats.org/officeDocument/2006/relationships/image" Target="media/image827.png"/><Relationship Id="rId838" Type="http://schemas.openxmlformats.org/officeDocument/2006/relationships/image" Target="media/image828.png"/><Relationship Id="rId839" Type="http://schemas.openxmlformats.org/officeDocument/2006/relationships/image" Target="media/image829.png"/><Relationship Id="rId840" Type="http://schemas.openxmlformats.org/officeDocument/2006/relationships/image" Target="media/image830.png"/><Relationship Id="rId841" Type="http://schemas.openxmlformats.org/officeDocument/2006/relationships/image" Target="media/image831.png"/><Relationship Id="rId842" Type="http://schemas.openxmlformats.org/officeDocument/2006/relationships/image" Target="media/image832.png"/><Relationship Id="rId843" Type="http://schemas.openxmlformats.org/officeDocument/2006/relationships/image" Target="media/image833.png"/><Relationship Id="rId844" Type="http://schemas.openxmlformats.org/officeDocument/2006/relationships/image" Target="media/image834.png"/><Relationship Id="rId845" Type="http://schemas.openxmlformats.org/officeDocument/2006/relationships/image" Target="media/image835.png"/><Relationship Id="rId846" Type="http://schemas.openxmlformats.org/officeDocument/2006/relationships/image" Target="media/image836.png"/><Relationship Id="rId847" Type="http://schemas.openxmlformats.org/officeDocument/2006/relationships/image" Target="media/image837.png"/><Relationship Id="rId848" Type="http://schemas.openxmlformats.org/officeDocument/2006/relationships/image" Target="media/image838.png"/><Relationship Id="rId849" Type="http://schemas.openxmlformats.org/officeDocument/2006/relationships/image" Target="media/image839.png"/><Relationship Id="rId850" Type="http://schemas.openxmlformats.org/officeDocument/2006/relationships/image" Target="media/image840.png"/><Relationship Id="rId851" Type="http://schemas.openxmlformats.org/officeDocument/2006/relationships/image" Target="media/image841.png"/><Relationship Id="rId852" Type="http://schemas.openxmlformats.org/officeDocument/2006/relationships/image" Target="media/image842.png"/><Relationship Id="rId853" Type="http://schemas.openxmlformats.org/officeDocument/2006/relationships/image" Target="media/image843.png"/><Relationship Id="rId854" Type="http://schemas.openxmlformats.org/officeDocument/2006/relationships/image" Target="media/image844.png"/><Relationship Id="rId855" Type="http://schemas.openxmlformats.org/officeDocument/2006/relationships/image" Target="media/image845.png"/><Relationship Id="rId856" Type="http://schemas.openxmlformats.org/officeDocument/2006/relationships/image" Target="media/image846.png"/><Relationship Id="rId857" Type="http://schemas.openxmlformats.org/officeDocument/2006/relationships/image" Target="media/image847.png"/><Relationship Id="rId858" Type="http://schemas.openxmlformats.org/officeDocument/2006/relationships/image" Target="media/image848.png"/><Relationship Id="rId859" Type="http://schemas.openxmlformats.org/officeDocument/2006/relationships/image" Target="media/image849.png"/><Relationship Id="rId860" Type="http://schemas.openxmlformats.org/officeDocument/2006/relationships/image" Target="media/image850.png"/><Relationship Id="rId861" Type="http://schemas.openxmlformats.org/officeDocument/2006/relationships/image" Target="media/image851.png"/><Relationship Id="rId862" Type="http://schemas.openxmlformats.org/officeDocument/2006/relationships/image" Target="media/image852.png"/><Relationship Id="rId863" Type="http://schemas.openxmlformats.org/officeDocument/2006/relationships/image" Target="media/image853.png"/><Relationship Id="rId864" Type="http://schemas.openxmlformats.org/officeDocument/2006/relationships/image" Target="media/image854.png"/><Relationship Id="rId865" Type="http://schemas.openxmlformats.org/officeDocument/2006/relationships/image" Target="media/image855.png"/><Relationship Id="rId866" Type="http://schemas.openxmlformats.org/officeDocument/2006/relationships/image" Target="media/image856.png"/><Relationship Id="rId867" Type="http://schemas.openxmlformats.org/officeDocument/2006/relationships/image" Target="media/image857.png"/><Relationship Id="rId868" Type="http://schemas.openxmlformats.org/officeDocument/2006/relationships/image" Target="media/image858.png"/><Relationship Id="rId869" Type="http://schemas.openxmlformats.org/officeDocument/2006/relationships/image" Target="media/image859.png"/><Relationship Id="rId870" Type="http://schemas.openxmlformats.org/officeDocument/2006/relationships/image" Target="media/image860.png"/><Relationship Id="rId871" Type="http://schemas.openxmlformats.org/officeDocument/2006/relationships/image" Target="media/image861.png"/><Relationship Id="rId872" Type="http://schemas.openxmlformats.org/officeDocument/2006/relationships/image" Target="media/image862.png"/><Relationship Id="rId873" Type="http://schemas.openxmlformats.org/officeDocument/2006/relationships/image" Target="media/image863.png"/><Relationship Id="rId874" Type="http://schemas.openxmlformats.org/officeDocument/2006/relationships/image" Target="media/image864.png"/><Relationship Id="rId875" Type="http://schemas.openxmlformats.org/officeDocument/2006/relationships/image" Target="media/image865.png"/><Relationship Id="rId876" Type="http://schemas.openxmlformats.org/officeDocument/2006/relationships/image" Target="media/image866.png"/><Relationship Id="rId877" Type="http://schemas.openxmlformats.org/officeDocument/2006/relationships/image" Target="media/image867.png"/><Relationship Id="rId878" Type="http://schemas.openxmlformats.org/officeDocument/2006/relationships/image" Target="media/image868.png"/><Relationship Id="rId879" Type="http://schemas.openxmlformats.org/officeDocument/2006/relationships/image" Target="media/image869.png"/><Relationship Id="rId880" Type="http://schemas.openxmlformats.org/officeDocument/2006/relationships/image" Target="media/image870.png"/><Relationship Id="rId881" Type="http://schemas.openxmlformats.org/officeDocument/2006/relationships/image" Target="media/image871.png"/><Relationship Id="rId882" Type="http://schemas.openxmlformats.org/officeDocument/2006/relationships/image" Target="media/image872.png"/><Relationship Id="rId883" Type="http://schemas.openxmlformats.org/officeDocument/2006/relationships/image" Target="media/image873.png"/><Relationship Id="rId884" Type="http://schemas.openxmlformats.org/officeDocument/2006/relationships/image" Target="media/image874.png"/><Relationship Id="rId885" Type="http://schemas.openxmlformats.org/officeDocument/2006/relationships/image" Target="media/image875.png"/><Relationship Id="rId886" Type="http://schemas.openxmlformats.org/officeDocument/2006/relationships/image" Target="media/image876.png"/><Relationship Id="rId887" Type="http://schemas.openxmlformats.org/officeDocument/2006/relationships/image" Target="media/image877.png"/><Relationship Id="rId888" Type="http://schemas.openxmlformats.org/officeDocument/2006/relationships/image" Target="media/image878.png"/><Relationship Id="rId889" Type="http://schemas.openxmlformats.org/officeDocument/2006/relationships/image" Target="media/image879.png"/><Relationship Id="rId890" Type="http://schemas.openxmlformats.org/officeDocument/2006/relationships/image" Target="media/image880.png"/><Relationship Id="rId891" Type="http://schemas.openxmlformats.org/officeDocument/2006/relationships/image" Target="media/image881.png"/><Relationship Id="rId892" Type="http://schemas.openxmlformats.org/officeDocument/2006/relationships/image" Target="media/image882.png"/><Relationship Id="rId893" Type="http://schemas.openxmlformats.org/officeDocument/2006/relationships/image" Target="media/image883.png"/><Relationship Id="rId894" Type="http://schemas.openxmlformats.org/officeDocument/2006/relationships/image" Target="media/image884.png"/><Relationship Id="rId895" Type="http://schemas.openxmlformats.org/officeDocument/2006/relationships/image" Target="media/image885.png"/><Relationship Id="rId896" Type="http://schemas.openxmlformats.org/officeDocument/2006/relationships/image" Target="media/image886.png"/><Relationship Id="rId897" Type="http://schemas.openxmlformats.org/officeDocument/2006/relationships/image" Target="media/image887.png"/><Relationship Id="rId898" Type="http://schemas.openxmlformats.org/officeDocument/2006/relationships/image" Target="media/image888.png"/><Relationship Id="rId899" Type="http://schemas.openxmlformats.org/officeDocument/2006/relationships/image" Target="media/image889.png"/><Relationship Id="rId900" Type="http://schemas.openxmlformats.org/officeDocument/2006/relationships/image" Target="media/image890.png"/><Relationship Id="rId901" Type="http://schemas.openxmlformats.org/officeDocument/2006/relationships/image" Target="media/image891.png"/><Relationship Id="rId902" Type="http://schemas.openxmlformats.org/officeDocument/2006/relationships/image" Target="media/image892.png"/><Relationship Id="rId903" Type="http://schemas.openxmlformats.org/officeDocument/2006/relationships/image" Target="media/image893.png"/><Relationship Id="rId904" Type="http://schemas.openxmlformats.org/officeDocument/2006/relationships/image" Target="media/image894.png"/><Relationship Id="rId905" Type="http://schemas.openxmlformats.org/officeDocument/2006/relationships/image" Target="media/image895.png"/><Relationship Id="rId906" Type="http://schemas.openxmlformats.org/officeDocument/2006/relationships/image" Target="media/image896.png"/><Relationship Id="rId907" Type="http://schemas.openxmlformats.org/officeDocument/2006/relationships/image" Target="media/image897.png"/><Relationship Id="rId908" Type="http://schemas.openxmlformats.org/officeDocument/2006/relationships/image" Target="media/image898.png"/><Relationship Id="rId909" Type="http://schemas.openxmlformats.org/officeDocument/2006/relationships/image" Target="media/image899.png"/><Relationship Id="rId910" Type="http://schemas.openxmlformats.org/officeDocument/2006/relationships/image" Target="media/image900.png"/><Relationship Id="rId911" Type="http://schemas.openxmlformats.org/officeDocument/2006/relationships/image" Target="media/image901.png"/><Relationship Id="rId912" Type="http://schemas.openxmlformats.org/officeDocument/2006/relationships/image" Target="media/image902.png"/><Relationship Id="rId913" Type="http://schemas.openxmlformats.org/officeDocument/2006/relationships/image" Target="media/image903.png"/><Relationship Id="rId914" Type="http://schemas.openxmlformats.org/officeDocument/2006/relationships/image" Target="media/image904.png"/><Relationship Id="rId915" Type="http://schemas.openxmlformats.org/officeDocument/2006/relationships/image" Target="media/image905.png"/><Relationship Id="rId916" Type="http://schemas.openxmlformats.org/officeDocument/2006/relationships/image" Target="media/image906.png"/><Relationship Id="rId917" Type="http://schemas.openxmlformats.org/officeDocument/2006/relationships/image" Target="media/image907.png"/><Relationship Id="rId918" Type="http://schemas.openxmlformats.org/officeDocument/2006/relationships/image" Target="media/image908.png"/><Relationship Id="rId919" Type="http://schemas.openxmlformats.org/officeDocument/2006/relationships/image" Target="media/image909.png"/><Relationship Id="rId920" Type="http://schemas.openxmlformats.org/officeDocument/2006/relationships/image" Target="media/image910.png"/><Relationship Id="rId921" Type="http://schemas.openxmlformats.org/officeDocument/2006/relationships/image" Target="media/image911.png"/><Relationship Id="rId922" Type="http://schemas.openxmlformats.org/officeDocument/2006/relationships/image" Target="media/image912.png"/><Relationship Id="rId923" Type="http://schemas.openxmlformats.org/officeDocument/2006/relationships/image" Target="media/image913.png"/><Relationship Id="rId924" Type="http://schemas.openxmlformats.org/officeDocument/2006/relationships/image" Target="media/image914.png"/><Relationship Id="rId925" Type="http://schemas.openxmlformats.org/officeDocument/2006/relationships/image" Target="media/image915.png"/><Relationship Id="rId926" Type="http://schemas.openxmlformats.org/officeDocument/2006/relationships/image" Target="media/image916.png"/><Relationship Id="rId927" Type="http://schemas.openxmlformats.org/officeDocument/2006/relationships/image" Target="media/image917.png"/><Relationship Id="rId928" Type="http://schemas.openxmlformats.org/officeDocument/2006/relationships/image" Target="media/image918.png"/><Relationship Id="rId929" Type="http://schemas.openxmlformats.org/officeDocument/2006/relationships/image" Target="media/image919.png"/><Relationship Id="rId930" Type="http://schemas.openxmlformats.org/officeDocument/2006/relationships/image" Target="media/image920.png"/><Relationship Id="rId931" Type="http://schemas.openxmlformats.org/officeDocument/2006/relationships/image" Target="media/image921.png"/><Relationship Id="rId932" Type="http://schemas.openxmlformats.org/officeDocument/2006/relationships/image" Target="media/image922.png"/><Relationship Id="rId933" Type="http://schemas.openxmlformats.org/officeDocument/2006/relationships/image" Target="media/image923.png"/><Relationship Id="rId934" Type="http://schemas.openxmlformats.org/officeDocument/2006/relationships/image" Target="media/image924.png"/><Relationship Id="rId935" Type="http://schemas.openxmlformats.org/officeDocument/2006/relationships/image" Target="media/image925.png"/><Relationship Id="rId936" Type="http://schemas.openxmlformats.org/officeDocument/2006/relationships/image" Target="media/image926.png"/><Relationship Id="rId937" Type="http://schemas.openxmlformats.org/officeDocument/2006/relationships/image" Target="media/image927.png"/><Relationship Id="rId938" Type="http://schemas.openxmlformats.org/officeDocument/2006/relationships/image" Target="media/image928.png"/><Relationship Id="rId939" Type="http://schemas.openxmlformats.org/officeDocument/2006/relationships/image" Target="media/image929.png"/><Relationship Id="rId940" Type="http://schemas.openxmlformats.org/officeDocument/2006/relationships/image" Target="media/image930.png"/><Relationship Id="rId941" Type="http://schemas.openxmlformats.org/officeDocument/2006/relationships/image" Target="media/image931.png"/><Relationship Id="rId942" Type="http://schemas.openxmlformats.org/officeDocument/2006/relationships/image" Target="media/image932.png"/><Relationship Id="rId943" Type="http://schemas.openxmlformats.org/officeDocument/2006/relationships/image" Target="media/image933.png"/><Relationship Id="rId944" Type="http://schemas.openxmlformats.org/officeDocument/2006/relationships/image" Target="media/image934.png"/><Relationship Id="rId945" Type="http://schemas.openxmlformats.org/officeDocument/2006/relationships/image" Target="media/image935.png"/><Relationship Id="rId946" Type="http://schemas.openxmlformats.org/officeDocument/2006/relationships/image" Target="media/image936.png"/><Relationship Id="rId947" Type="http://schemas.openxmlformats.org/officeDocument/2006/relationships/image" Target="media/image937.png"/><Relationship Id="rId948" Type="http://schemas.openxmlformats.org/officeDocument/2006/relationships/image" Target="media/image938.png"/><Relationship Id="rId949" Type="http://schemas.openxmlformats.org/officeDocument/2006/relationships/image" Target="media/image939.png"/><Relationship Id="rId950" Type="http://schemas.openxmlformats.org/officeDocument/2006/relationships/image" Target="media/image940.png"/><Relationship Id="rId951" Type="http://schemas.openxmlformats.org/officeDocument/2006/relationships/image" Target="media/image941.png"/><Relationship Id="rId952" Type="http://schemas.openxmlformats.org/officeDocument/2006/relationships/image" Target="media/image942.png"/><Relationship Id="rId953" Type="http://schemas.openxmlformats.org/officeDocument/2006/relationships/image" Target="media/image943.png"/><Relationship Id="rId954" Type="http://schemas.openxmlformats.org/officeDocument/2006/relationships/image" Target="media/image944.png"/><Relationship Id="rId955" Type="http://schemas.openxmlformats.org/officeDocument/2006/relationships/image" Target="media/image945.png"/><Relationship Id="rId956" Type="http://schemas.openxmlformats.org/officeDocument/2006/relationships/image" Target="media/image946.png"/><Relationship Id="rId957" Type="http://schemas.openxmlformats.org/officeDocument/2006/relationships/image" Target="media/image947.png"/><Relationship Id="rId958" Type="http://schemas.openxmlformats.org/officeDocument/2006/relationships/image" Target="media/image948.png"/><Relationship Id="rId959" Type="http://schemas.openxmlformats.org/officeDocument/2006/relationships/image" Target="media/image949.png"/><Relationship Id="rId960" Type="http://schemas.openxmlformats.org/officeDocument/2006/relationships/image" Target="media/image950.png"/><Relationship Id="rId961" Type="http://schemas.openxmlformats.org/officeDocument/2006/relationships/image" Target="media/image951.png"/><Relationship Id="rId962" Type="http://schemas.openxmlformats.org/officeDocument/2006/relationships/image" Target="media/image952.png"/><Relationship Id="rId963" Type="http://schemas.openxmlformats.org/officeDocument/2006/relationships/image" Target="media/image953.png"/><Relationship Id="rId964" Type="http://schemas.openxmlformats.org/officeDocument/2006/relationships/image" Target="media/image954.png"/><Relationship Id="rId965" Type="http://schemas.openxmlformats.org/officeDocument/2006/relationships/image" Target="media/image955.png"/><Relationship Id="rId966" Type="http://schemas.openxmlformats.org/officeDocument/2006/relationships/image" Target="media/image956.png"/><Relationship Id="rId967" Type="http://schemas.openxmlformats.org/officeDocument/2006/relationships/image" Target="media/image957.png"/><Relationship Id="rId968" Type="http://schemas.openxmlformats.org/officeDocument/2006/relationships/image" Target="media/image958.png"/><Relationship Id="rId969" Type="http://schemas.openxmlformats.org/officeDocument/2006/relationships/image" Target="media/image959.png"/><Relationship Id="rId970" Type="http://schemas.openxmlformats.org/officeDocument/2006/relationships/image" Target="media/image960.png"/><Relationship Id="rId971" Type="http://schemas.openxmlformats.org/officeDocument/2006/relationships/image" Target="media/image961.png"/><Relationship Id="rId972" Type="http://schemas.openxmlformats.org/officeDocument/2006/relationships/image" Target="media/image962.png"/><Relationship Id="rId973" Type="http://schemas.openxmlformats.org/officeDocument/2006/relationships/image" Target="media/image963.png"/><Relationship Id="rId974" Type="http://schemas.openxmlformats.org/officeDocument/2006/relationships/image" Target="media/image964.png"/><Relationship Id="rId975" Type="http://schemas.openxmlformats.org/officeDocument/2006/relationships/image" Target="media/image965.png"/><Relationship Id="rId976" Type="http://schemas.openxmlformats.org/officeDocument/2006/relationships/image" Target="media/image966.png"/><Relationship Id="rId977" Type="http://schemas.openxmlformats.org/officeDocument/2006/relationships/image" Target="media/image967.png"/><Relationship Id="rId978" Type="http://schemas.openxmlformats.org/officeDocument/2006/relationships/image" Target="media/image968.png"/><Relationship Id="rId979" Type="http://schemas.openxmlformats.org/officeDocument/2006/relationships/image" Target="media/image969.png"/><Relationship Id="rId980" Type="http://schemas.openxmlformats.org/officeDocument/2006/relationships/image" Target="media/image970.png"/><Relationship Id="rId981" Type="http://schemas.openxmlformats.org/officeDocument/2006/relationships/image" Target="media/image971.png"/><Relationship Id="rId982" Type="http://schemas.openxmlformats.org/officeDocument/2006/relationships/image" Target="media/image972.png"/><Relationship Id="rId983" Type="http://schemas.openxmlformats.org/officeDocument/2006/relationships/image" Target="media/image973.png"/><Relationship Id="rId984" Type="http://schemas.openxmlformats.org/officeDocument/2006/relationships/image" Target="media/image974.png"/><Relationship Id="rId985" Type="http://schemas.openxmlformats.org/officeDocument/2006/relationships/image" Target="media/image975.png"/><Relationship Id="rId986" Type="http://schemas.openxmlformats.org/officeDocument/2006/relationships/image" Target="media/image976.png"/><Relationship Id="rId987" Type="http://schemas.openxmlformats.org/officeDocument/2006/relationships/image" Target="media/image977.png"/><Relationship Id="rId988" Type="http://schemas.openxmlformats.org/officeDocument/2006/relationships/image" Target="media/image978.png"/><Relationship Id="rId989" Type="http://schemas.openxmlformats.org/officeDocument/2006/relationships/image" Target="media/image979.png"/><Relationship Id="rId990" Type="http://schemas.openxmlformats.org/officeDocument/2006/relationships/image" Target="media/image980.png"/><Relationship Id="rId991" Type="http://schemas.openxmlformats.org/officeDocument/2006/relationships/image" Target="media/image981.png"/><Relationship Id="rId992" Type="http://schemas.openxmlformats.org/officeDocument/2006/relationships/image" Target="media/image982.png"/><Relationship Id="rId993" Type="http://schemas.openxmlformats.org/officeDocument/2006/relationships/image" Target="media/image983.png"/><Relationship Id="rId994" Type="http://schemas.openxmlformats.org/officeDocument/2006/relationships/image" Target="media/image984.png"/><Relationship Id="rId995" Type="http://schemas.openxmlformats.org/officeDocument/2006/relationships/image" Target="media/image985.png"/><Relationship Id="rId996" Type="http://schemas.openxmlformats.org/officeDocument/2006/relationships/image" Target="media/image986.png"/><Relationship Id="rId997" Type="http://schemas.openxmlformats.org/officeDocument/2006/relationships/image" Target="media/image987.png"/><Relationship Id="rId998" Type="http://schemas.openxmlformats.org/officeDocument/2006/relationships/image" Target="media/image988.png"/><Relationship Id="rId999" Type="http://schemas.openxmlformats.org/officeDocument/2006/relationships/image" Target="media/image989.png"/><Relationship Id="rId1000" Type="http://schemas.openxmlformats.org/officeDocument/2006/relationships/image" Target="media/image990.png"/><Relationship Id="rId1001" Type="http://schemas.openxmlformats.org/officeDocument/2006/relationships/image" Target="media/image991.png"/><Relationship Id="rId1002" Type="http://schemas.openxmlformats.org/officeDocument/2006/relationships/image" Target="media/image992.png"/><Relationship Id="rId1003" Type="http://schemas.openxmlformats.org/officeDocument/2006/relationships/image" Target="media/image993.png"/><Relationship Id="rId1004" Type="http://schemas.openxmlformats.org/officeDocument/2006/relationships/image" Target="media/image994.png"/><Relationship Id="rId1005" Type="http://schemas.openxmlformats.org/officeDocument/2006/relationships/image" Target="media/image995.png"/><Relationship Id="rId1006" Type="http://schemas.openxmlformats.org/officeDocument/2006/relationships/image" Target="media/image996.png"/><Relationship Id="rId1007" Type="http://schemas.openxmlformats.org/officeDocument/2006/relationships/image" Target="media/image997.png"/><Relationship Id="rId1008" Type="http://schemas.openxmlformats.org/officeDocument/2006/relationships/image" Target="media/image998.png"/><Relationship Id="rId1009" Type="http://schemas.openxmlformats.org/officeDocument/2006/relationships/image" Target="media/image999.png"/><Relationship Id="rId1010" Type="http://schemas.openxmlformats.org/officeDocument/2006/relationships/image" Target="media/image1000.png"/><Relationship Id="rId1011" Type="http://schemas.openxmlformats.org/officeDocument/2006/relationships/image" Target="media/image1001.png"/><Relationship Id="rId1012" Type="http://schemas.openxmlformats.org/officeDocument/2006/relationships/image" Target="media/image1002.png"/><Relationship Id="rId1013" Type="http://schemas.openxmlformats.org/officeDocument/2006/relationships/image" Target="media/image1003.png"/><Relationship Id="rId1014" Type="http://schemas.openxmlformats.org/officeDocument/2006/relationships/image" Target="media/image1004.png"/><Relationship Id="rId1015" Type="http://schemas.openxmlformats.org/officeDocument/2006/relationships/image" Target="media/image1005.png"/><Relationship Id="rId1016" Type="http://schemas.openxmlformats.org/officeDocument/2006/relationships/image" Target="media/image1006.png"/><Relationship Id="rId1017" Type="http://schemas.openxmlformats.org/officeDocument/2006/relationships/image" Target="media/image1007.png"/><Relationship Id="rId1018" Type="http://schemas.openxmlformats.org/officeDocument/2006/relationships/image" Target="media/image1008.png"/><Relationship Id="rId1019" Type="http://schemas.openxmlformats.org/officeDocument/2006/relationships/image" Target="media/image1009.png"/><Relationship Id="rId1020" Type="http://schemas.openxmlformats.org/officeDocument/2006/relationships/image" Target="media/image1010.png"/><Relationship Id="rId1021" Type="http://schemas.openxmlformats.org/officeDocument/2006/relationships/image" Target="media/image1011.png"/><Relationship Id="rId1022" Type="http://schemas.openxmlformats.org/officeDocument/2006/relationships/image" Target="media/image1012.png"/><Relationship Id="rId1023" Type="http://schemas.openxmlformats.org/officeDocument/2006/relationships/image" Target="media/image1013.png"/><Relationship Id="rId1024" Type="http://schemas.openxmlformats.org/officeDocument/2006/relationships/image" Target="media/image1014.png"/><Relationship Id="rId1025" Type="http://schemas.openxmlformats.org/officeDocument/2006/relationships/image" Target="media/image1015.png"/><Relationship Id="rId1026" Type="http://schemas.openxmlformats.org/officeDocument/2006/relationships/image" Target="media/image1016.png"/><Relationship Id="rId1027" Type="http://schemas.openxmlformats.org/officeDocument/2006/relationships/image" Target="media/image1017.png"/><Relationship Id="rId1028" Type="http://schemas.openxmlformats.org/officeDocument/2006/relationships/image" Target="media/image1018.png"/><Relationship Id="rId1029" Type="http://schemas.openxmlformats.org/officeDocument/2006/relationships/image" Target="media/image1019.png"/><Relationship Id="rId1030" Type="http://schemas.openxmlformats.org/officeDocument/2006/relationships/image" Target="media/image1020.png"/><Relationship Id="rId1031" Type="http://schemas.openxmlformats.org/officeDocument/2006/relationships/image" Target="media/image1021.png"/><Relationship Id="rId1032" Type="http://schemas.openxmlformats.org/officeDocument/2006/relationships/image" Target="media/image1022.png"/><Relationship Id="rId1033" Type="http://schemas.openxmlformats.org/officeDocument/2006/relationships/image" Target="media/image1023.png"/><Relationship Id="rId1034" Type="http://schemas.openxmlformats.org/officeDocument/2006/relationships/image" Target="media/image1024.png"/><Relationship Id="rId1035" Type="http://schemas.openxmlformats.org/officeDocument/2006/relationships/image" Target="media/image1025.png"/><Relationship Id="rId1036" Type="http://schemas.openxmlformats.org/officeDocument/2006/relationships/image" Target="media/image1026.png"/><Relationship Id="rId1037" Type="http://schemas.openxmlformats.org/officeDocument/2006/relationships/image" Target="media/image1027.png"/><Relationship Id="rId1038" Type="http://schemas.openxmlformats.org/officeDocument/2006/relationships/image" Target="media/image1028.png"/><Relationship Id="rId1039" Type="http://schemas.openxmlformats.org/officeDocument/2006/relationships/image" Target="media/image1029.png"/><Relationship Id="rId1040" Type="http://schemas.openxmlformats.org/officeDocument/2006/relationships/image" Target="media/image1030.png"/><Relationship Id="rId1041" Type="http://schemas.openxmlformats.org/officeDocument/2006/relationships/image" Target="media/image1031.png"/><Relationship Id="rId1042" Type="http://schemas.openxmlformats.org/officeDocument/2006/relationships/image" Target="media/image1032.png"/><Relationship Id="rId1043" Type="http://schemas.openxmlformats.org/officeDocument/2006/relationships/image" Target="media/image1033.png"/><Relationship Id="rId1044" Type="http://schemas.openxmlformats.org/officeDocument/2006/relationships/image" Target="media/image1034.png"/><Relationship Id="rId1045" Type="http://schemas.openxmlformats.org/officeDocument/2006/relationships/image" Target="media/image1035.png"/><Relationship Id="rId1046" Type="http://schemas.openxmlformats.org/officeDocument/2006/relationships/image" Target="media/image1036.png"/><Relationship Id="rId1047" Type="http://schemas.openxmlformats.org/officeDocument/2006/relationships/image" Target="media/image1037.png"/><Relationship Id="rId1048" Type="http://schemas.openxmlformats.org/officeDocument/2006/relationships/image" Target="media/image1038.png"/><Relationship Id="rId1049" Type="http://schemas.openxmlformats.org/officeDocument/2006/relationships/image" Target="media/image1039.png"/><Relationship Id="rId1050" Type="http://schemas.openxmlformats.org/officeDocument/2006/relationships/image" Target="media/image1040.png"/><Relationship Id="rId1051" Type="http://schemas.openxmlformats.org/officeDocument/2006/relationships/image" Target="media/image1041.png"/><Relationship Id="rId1052" Type="http://schemas.openxmlformats.org/officeDocument/2006/relationships/image" Target="media/image1042.png"/><Relationship Id="rId1053" Type="http://schemas.openxmlformats.org/officeDocument/2006/relationships/image" Target="media/image1043.png"/><Relationship Id="rId1054" Type="http://schemas.openxmlformats.org/officeDocument/2006/relationships/image" Target="media/image1044.png"/><Relationship Id="rId1055" Type="http://schemas.openxmlformats.org/officeDocument/2006/relationships/image" Target="media/image1045.png"/><Relationship Id="rId1056" Type="http://schemas.openxmlformats.org/officeDocument/2006/relationships/image" Target="media/image1046.png"/><Relationship Id="rId1057" Type="http://schemas.openxmlformats.org/officeDocument/2006/relationships/image" Target="media/image1047.png"/><Relationship Id="rId1058" Type="http://schemas.openxmlformats.org/officeDocument/2006/relationships/image" Target="media/image1048.png"/><Relationship Id="rId1059" Type="http://schemas.openxmlformats.org/officeDocument/2006/relationships/image" Target="media/image1049.png"/><Relationship Id="rId1060" Type="http://schemas.openxmlformats.org/officeDocument/2006/relationships/image" Target="media/image1050.png"/><Relationship Id="rId1061" Type="http://schemas.openxmlformats.org/officeDocument/2006/relationships/image" Target="media/image1051.png"/><Relationship Id="rId1062" Type="http://schemas.openxmlformats.org/officeDocument/2006/relationships/image" Target="media/image1052.png"/><Relationship Id="rId1063" Type="http://schemas.openxmlformats.org/officeDocument/2006/relationships/image" Target="media/image1053.png"/><Relationship Id="rId1064" Type="http://schemas.openxmlformats.org/officeDocument/2006/relationships/image" Target="media/image1054.png"/><Relationship Id="rId1065" Type="http://schemas.openxmlformats.org/officeDocument/2006/relationships/image" Target="media/image1055.png"/><Relationship Id="rId1066" Type="http://schemas.openxmlformats.org/officeDocument/2006/relationships/image" Target="media/image1056.png"/><Relationship Id="rId1067" Type="http://schemas.openxmlformats.org/officeDocument/2006/relationships/image" Target="media/image1057.png"/><Relationship Id="rId1068" Type="http://schemas.openxmlformats.org/officeDocument/2006/relationships/image" Target="media/image1058.png"/><Relationship Id="rId1069" Type="http://schemas.openxmlformats.org/officeDocument/2006/relationships/image" Target="media/image1059.png"/><Relationship Id="rId1070" Type="http://schemas.openxmlformats.org/officeDocument/2006/relationships/image" Target="media/image1060.png"/><Relationship Id="rId1071" Type="http://schemas.openxmlformats.org/officeDocument/2006/relationships/image" Target="media/image1061.png"/><Relationship Id="rId1072" Type="http://schemas.openxmlformats.org/officeDocument/2006/relationships/image" Target="media/image1062.png"/><Relationship Id="rId1073" Type="http://schemas.openxmlformats.org/officeDocument/2006/relationships/image" Target="media/image1063.png"/><Relationship Id="rId1074" Type="http://schemas.openxmlformats.org/officeDocument/2006/relationships/image" Target="media/image1064.png"/><Relationship Id="rId1075" Type="http://schemas.openxmlformats.org/officeDocument/2006/relationships/image" Target="media/image1065.png"/><Relationship Id="rId1076" Type="http://schemas.openxmlformats.org/officeDocument/2006/relationships/image" Target="media/image1066.png"/><Relationship Id="rId1077" Type="http://schemas.openxmlformats.org/officeDocument/2006/relationships/image" Target="media/image1067.png"/><Relationship Id="rId1078" Type="http://schemas.openxmlformats.org/officeDocument/2006/relationships/image" Target="media/image1068.png"/><Relationship Id="rId1079" Type="http://schemas.openxmlformats.org/officeDocument/2006/relationships/image" Target="media/image1069.png"/><Relationship Id="rId1080" Type="http://schemas.openxmlformats.org/officeDocument/2006/relationships/image" Target="media/image1070.png"/><Relationship Id="rId1081" Type="http://schemas.openxmlformats.org/officeDocument/2006/relationships/image" Target="media/image1071.png"/><Relationship Id="rId1082" Type="http://schemas.openxmlformats.org/officeDocument/2006/relationships/image" Target="media/image1072.png"/><Relationship Id="rId1083" Type="http://schemas.openxmlformats.org/officeDocument/2006/relationships/image" Target="media/image1073.png"/><Relationship Id="rId1084" Type="http://schemas.openxmlformats.org/officeDocument/2006/relationships/image" Target="media/image1074.png"/><Relationship Id="rId1085" Type="http://schemas.openxmlformats.org/officeDocument/2006/relationships/image" Target="media/image1075.png"/><Relationship Id="rId1086" Type="http://schemas.openxmlformats.org/officeDocument/2006/relationships/image" Target="media/image1076.png"/><Relationship Id="rId1087" Type="http://schemas.openxmlformats.org/officeDocument/2006/relationships/image" Target="media/image1077.png"/><Relationship Id="rId1088" Type="http://schemas.openxmlformats.org/officeDocument/2006/relationships/image" Target="media/image1078.png"/><Relationship Id="rId1089" Type="http://schemas.openxmlformats.org/officeDocument/2006/relationships/image" Target="media/image1079.png"/><Relationship Id="rId1090" Type="http://schemas.openxmlformats.org/officeDocument/2006/relationships/image" Target="media/image1080.png"/><Relationship Id="rId1091" Type="http://schemas.openxmlformats.org/officeDocument/2006/relationships/image" Target="media/image1081.png"/><Relationship Id="rId1092" Type="http://schemas.openxmlformats.org/officeDocument/2006/relationships/image" Target="media/image1082.png"/><Relationship Id="rId1093" Type="http://schemas.openxmlformats.org/officeDocument/2006/relationships/image" Target="media/image1083.png"/><Relationship Id="rId1094" Type="http://schemas.openxmlformats.org/officeDocument/2006/relationships/image" Target="media/image1084.png"/><Relationship Id="rId1095" Type="http://schemas.openxmlformats.org/officeDocument/2006/relationships/image" Target="media/image1085.png"/><Relationship Id="rId1096" Type="http://schemas.openxmlformats.org/officeDocument/2006/relationships/image" Target="media/image1086.png"/><Relationship Id="rId1097" Type="http://schemas.openxmlformats.org/officeDocument/2006/relationships/image" Target="media/image1087.png"/><Relationship Id="rId1098" Type="http://schemas.openxmlformats.org/officeDocument/2006/relationships/image" Target="media/image1088.png"/><Relationship Id="rId1099" Type="http://schemas.openxmlformats.org/officeDocument/2006/relationships/image" Target="media/image1089.png"/><Relationship Id="rId1100" Type="http://schemas.openxmlformats.org/officeDocument/2006/relationships/image" Target="media/image1090.png"/><Relationship Id="rId1101" Type="http://schemas.openxmlformats.org/officeDocument/2006/relationships/image" Target="media/image1091.png"/><Relationship Id="rId1102" Type="http://schemas.openxmlformats.org/officeDocument/2006/relationships/image" Target="media/image1092.png"/><Relationship Id="rId1103" Type="http://schemas.openxmlformats.org/officeDocument/2006/relationships/image" Target="media/image1093.png"/><Relationship Id="rId1104" Type="http://schemas.openxmlformats.org/officeDocument/2006/relationships/image" Target="media/image1094.png"/><Relationship Id="rId1105" Type="http://schemas.openxmlformats.org/officeDocument/2006/relationships/image" Target="media/image1095.png"/><Relationship Id="rId1106" Type="http://schemas.openxmlformats.org/officeDocument/2006/relationships/image" Target="media/image1096.png"/><Relationship Id="rId1107" Type="http://schemas.openxmlformats.org/officeDocument/2006/relationships/image" Target="media/image1097.png"/><Relationship Id="rId1108" Type="http://schemas.openxmlformats.org/officeDocument/2006/relationships/image" Target="media/image1098.png"/><Relationship Id="rId1109" Type="http://schemas.openxmlformats.org/officeDocument/2006/relationships/image" Target="media/image1099.png"/><Relationship Id="rId1110" Type="http://schemas.openxmlformats.org/officeDocument/2006/relationships/image" Target="media/image1100.png"/><Relationship Id="rId1111" Type="http://schemas.openxmlformats.org/officeDocument/2006/relationships/image" Target="media/image1101.png"/><Relationship Id="rId1112" Type="http://schemas.openxmlformats.org/officeDocument/2006/relationships/image" Target="media/image1102.png"/><Relationship Id="rId1113" Type="http://schemas.openxmlformats.org/officeDocument/2006/relationships/image" Target="media/image1103.png"/><Relationship Id="rId1114" Type="http://schemas.openxmlformats.org/officeDocument/2006/relationships/image" Target="media/image1104.png"/><Relationship Id="rId1115" Type="http://schemas.openxmlformats.org/officeDocument/2006/relationships/image" Target="media/image1105.png"/><Relationship Id="rId1116" Type="http://schemas.openxmlformats.org/officeDocument/2006/relationships/image" Target="media/image1106.png"/><Relationship Id="rId1117" Type="http://schemas.openxmlformats.org/officeDocument/2006/relationships/image" Target="media/image1107.png"/><Relationship Id="rId1118" Type="http://schemas.openxmlformats.org/officeDocument/2006/relationships/image" Target="media/image1108.png"/><Relationship Id="rId1119" Type="http://schemas.openxmlformats.org/officeDocument/2006/relationships/image" Target="media/image1109.png"/><Relationship Id="rId1120" Type="http://schemas.openxmlformats.org/officeDocument/2006/relationships/image" Target="media/image1110.png"/><Relationship Id="rId1121" Type="http://schemas.openxmlformats.org/officeDocument/2006/relationships/image" Target="media/image1111.png"/><Relationship Id="rId1122" Type="http://schemas.openxmlformats.org/officeDocument/2006/relationships/image" Target="media/image1112.png"/><Relationship Id="rId1123" Type="http://schemas.openxmlformats.org/officeDocument/2006/relationships/image" Target="media/image1113.png"/><Relationship Id="rId1124" Type="http://schemas.openxmlformats.org/officeDocument/2006/relationships/image" Target="media/image1114.png"/><Relationship Id="rId1125" Type="http://schemas.openxmlformats.org/officeDocument/2006/relationships/image" Target="media/image1115.png"/><Relationship Id="rId1126" Type="http://schemas.openxmlformats.org/officeDocument/2006/relationships/image" Target="media/image1116.png"/><Relationship Id="rId1127" Type="http://schemas.openxmlformats.org/officeDocument/2006/relationships/image" Target="media/image1117.png"/><Relationship Id="rId1128" Type="http://schemas.openxmlformats.org/officeDocument/2006/relationships/image" Target="media/image1118.png"/><Relationship Id="rId1129" Type="http://schemas.openxmlformats.org/officeDocument/2006/relationships/image" Target="media/image1119.png"/><Relationship Id="rId1130" Type="http://schemas.openxmlformats.org/officeDocument/2006/relationships/image" Target="media/image1120.png"/><Relationship Id="rId1131" Type="http://schemas.openxmlformats.org/officeDocument/2006/relationships/image" Target="media/image1121.png"/><Relationship Id="rId1132" Type="http://schemas.openxmlformats.org/officeDocument/2006/relationships/image" Target="media/image1122.png"/><Relationship Id="rId1133" Type="http://schemas.openxmlformats.org/officeDocument/2006/relationships/image" Target="media/image1123.png"/><Relationship Id="rId1134" Type="http://schemas.openxmlformats.org/officeDocument/2006/relationships/image" Target="media/image1124.png"/><Relationship Id="rId1135" Type="http://schemas.openxmlformats.org/officeDocument/2006/relationships/image" Target="media/image1125.png"/><Relationship Id="rId1136" Type="http://schemas.openxmlformats.org/officeDocument/2006/relationships/image" Target="media/image1126.png"/><Relationship Id="rId1137" Type="http://schemas.openxmlformats.org/officeDocument/2006/relationships/image" Target="media/image1127.png"/><Relationship Id="rId1138" Type="http://schemas.openxmlformats.org/officeDocument/2006/relationships/image" Target="media/image1128.png"/><Relationship Id="rId1139" Type="http://schemas.openxmlformats.org/officeDocument/2006/relationships/image" Target="media/image1129.png"/><Relationship Id="rId1140" Type="http://schemas.openxmlformats.org/officeDocument/2006/relationships/image" Target="media/image1130.png"/><Relationship Id="rId1141" Type="http://schemas.openxmlformats.org/officeDocument/2006/relationships/image" Target="media/image1131.png"/><Relationship Id="rId1142" Type="http://schemas.openxmlformats.org/officeDocument/2006/relationships/image" Target="media/image1132.png"/><Relationship Id="rId1143" Type="http://schemas.openxmlformats.org/officeDocument/2006/relationships/image" Target="media/image1133.png"/><Relationship Id="rId1144" Type="http://schemas.openxmlformats.org/officeDocument/2006/relationships/image" Target="media/image1134.png"/><Relationship Id="rId1145" Type="http://schemas.openxmlformats.org/officeDocument/2006/relationships/image" Target="media/image1135.png"/><Relationship Id="rId1146" Type="http://schemas.openxmlformats.org/officeDocument/2006/relationships/image" Target="media/image1136.png"/><Relationship Id="rId1147" Type="http://schemas.openxmlformats.org/officeDocument/2006/relationships/image" Target="media/image1137.png"/><Relationship Id="rId1148" Type="http://schemas.openxmlformats.org/officeDocument/2006/relationships/image" Target="media/image1138.png"/><Relationship Id="rId1149" Type="http://schemas.openxmlformats.org/officeDocument/2006/relationships/image" Target="media/image1139.png"/><Relationship Id="rId1150" Type="http://schemas.openxmlformats.org/officeDocument/2006/relationships/image" Target="media/image1140.png"/><Relationship Id="rId1151" Type="http://schemas.openxmlformats.org/officeDocument/2006/relationships/image" Target="media/image1141.png"/><Relationship Id="rId1152" Type="http://schemas.openxmlformats.org/officeDocument/2006/relationships/image" Target="media/image1142.png"/><Relationship Id="rId1153" Type="http://schemas.openxmlformats.org/officeDocument/2006/relationships/image" Target="media/image1143.png"/><Relationship Id="rId1154" Type="http://schemas.openxmlformats.org/officeDocument/2006/relationships/image" Target="media/image1144.png"/><Relationship Id="rId1155" Type="http://schemas.openxmlformats.org/officeDocument/2006/relationships/image" Target="media/image1145.png"/><Relationship Id="rId1156" Type="http://schemas.openxmlformats.org/officeDocument/2006/relationships/image" Target="media/image1146.png"/><Relationship Id="rId1157" Type="http://schemas.openxmlformats.org/officeDocument/2006/relationships/image" Target="media/image1147.png"/><Relationship Id="rId1158" Type="http://schemas.openxmlformats.org/officeDocument/2006/relationships/image" Target="media/image1148.png"/><Relationship Id="rId1159" Type="http://schemas.openxmlformats.org/officeDocument/2006/relationships/image" Target="media/image1149.png"/><Relationship Id="rId1160" Type="http://schemas.openxmlformats.org/officeDocument/2006/relationships/image" Target="media/image1150.png"/><Relationship Id="rId1161" Type="http://schemas.openxmlformats.org/officeDocument/2006/relationships/image" Target="media/image1151.png"/><Relationship Id="rId1162" Type="http://schemas.openxmlformats.org/officeDocument/2006/relationships/image" Target="media/image1152.png"/><Relationship Id="rId1163" Type="http://schemas.openxmlformats.org/officeDocument/2006/relationships/image" Target="media/image1153.png"/><Relationship Id="rId1164" Type="http://schemas.openxmlformats.org/officeDocument/2006/relationships/image" Target="media/image1154.png"/><Relationship Id="rId1165" Type="http://schemas.openxmlformats.org/officeDocument/2006/relationships/image" Target="media/image1155.png"/><Relationship Id="rId1166" Type="http://schemas.openxmlformats.org/officeDocument/2006/relationships/image" Target="media/image1156.png"/><Relationship Id="rId1167" Type="http://schemas.openxmlformats.org/officeDocument/2006/relationships/image" Target="media/image1157.png"/><Relationship Id="rId1168" Type="http://schemas.openxmlformats.org/officeDocument/2006/relationships/image" Target="media/image1158.png"/><Relationship Id="rId1169" Type="http://schemas.openxmlformats.org/officeDocument/2006/relationships/image" Target="media/image1159.png"/><Relationship Id="rId1170" Type="http://schemas.openxmlformats.org/officeDocument/2006/relationships/image" Target="media/image1160.png"/><Relationship Id="rId1171" Type="http://schemas.openxmlformats.org/officeDocument/2006/relationships/image" Target="media/image1161.png"/><Relationship Id="rId1172" Type="http://schemas.openxmlformats.org/officeDocument/2006/relationships/image" Target="media/image1162.png"/><Relationship Id="rId1173" Type="http://schemas.openxmlformats.org/officeDocument/2006/relationships/image" Target="media/image1163.png"/><Relationship Id="rId1174" Type="http://schemas.openxmlformats.org/officeDocument/2006/relationships/image" Target="media/image1164.png"/><Relationship Id="rId1175" Type="http://schemas.openxmlformats.org/officeDocument/2006/relationships/image" Target="media/image1165.png"/><Relationship Id="rId1176" Type="http://schemas.openxmlformats.org/officeDocument/2006/relationships/image" Target="media/image1166.png"/><Relationship Id="rId1177" Type="http://schemas.openxmlformats.org/officeDocument/2006/relationships/image" Target="media/image1167.png"/><Relationship Id="rId1178" Type="http://schemas.openxmlformats.org/officeDocument/2006/relationships/image" Target="media/image1168.png"/><Relationship Id="rId1179" Type="http://schemas.openxmlformats.org/officeDocument/2006/relationships/image" Target="media/image1169.png"/><Relationship Id="rId1180" Type="http://schemas.openxmlformats.org/officeDocument/2006/relationships/image" Target="media/image1170.png"/><Relationship Id="rId1181" Type="http://schemas.openxmlformats.org/officeDocument/2006/relationships/image" Target="media/image1171.png"/><Relationship Id="rId1182" Type="http://schemas.openxmlformats.org/officeDocument/2006/relationships/image" Target="media/image1172.png"/><Relationship Id="rId1183" Type="http://schemas.openxmlformats.org/officeDocument/2006/relationships/image" Target="media/image1173.png"/><Relationship Id="rId1184" Type="http://schemas.openxmlformats.org/officeDocument/2006/relationships/image" Target="media/image1174.png"/><Relationship Id="rId1185" Type="http://schemas.openxmlformats.org/officeDocument/2006/relationships/image" Target="media/image1175.png"/><Relationship Id="rId1186" Type="http://schemas.openxmlformats.org/officeDocument/2006/relationships/image" Target="media/image1176.png"/><Relationship Id="rId1187" Type="http://schemas.openxmlformats.org/officeDocument/2006/relationships/image" Target="media/image1177.png"/><Relationship Id="rId1188" Type="http://schemas.openxmlformats.org/officeDocument/2006/relationships/image" Target="media/image1178.png"/><Relationship Id="rId1189" Type="http://schemas.openxmlformats.org/officeDocument/2006/relationships/image" Target="media/image1179.png"/><Relationship Id="rId1190" Type="http://schemas.openxmlformats.org/officeDocument/2006/relationships/image" Target="media/image1180.png"/><Relationship Id="rId1191" Type="http://schemas.openxmlformats.org/officeDocument/2006/relationships/image" Target="media/image1181.png"/><Relationship Id="rId1192" Type="http://schemas.openxmlformats.org/officeDocument/2006/relationships/image" Target="media/image1182.png"/><Relationship Id="rId1193" Type="http://schemas.openxmlformats.org/officeDocument/2006/relationships/image" Target="media/image1183.png"/><Relationship Id="rId1194" Type="http://schemas.openxmlformats.org/officeDocument/2006/relationships/image" Target="media/image1184.png"/><Relationship Id="rId1195" Type="http://schemas.openxmlformats.org/officeDocument/2006/relationships/image" Target="media/image1185.png"/><Relationship Id="rId1196" Type="http://schemas.openxmlformats.org/officeDocument/2006/relationships/image" Target="media/image1186.png"/><Relationship Id="rId1197" Type="http://schemas.openxmlformats.org/officeDocument/2006/relationships/image" Target="media/image1187.png"/><Relationship Id="rId1198" Type="http://schemas.openxmlformats.org/officeDocument/2006/relationships/image" Target="media/image1188.png"/><Relationship Id="rId1199" Type="http://schemas.openxmlformats.org/officeDocument/2006/relationships/image" Target="media/image1189.png"/><Relationship Id="rId1200" Type="http://schemas.openxmlformats.org/officeDocument/2006/relationships/image" Target="media/image1190.png"/><Relationship Id="rId1201" Type="http://schemas.openxmlformats.org/officeDocument/2006/relationships/image" Target="media/image1191.png"/><Relationship Id="rId1202" Type="http://schemas.openxmlformats.org/officeDocument/2006/relationships/image" Target="media/image1192.png"/><Relationship Id="rId1203" Type="http://schemas.openxmlformats.org/officeDocument/2006/relationships/image" Target="media/image1193.png"/><Relationship Id="rId1204" Type="http://schemas.openxmlformats.org/officeDocument/2006/relationships/image" Target="media/image1194.png"/><Relationship Id="rId1205" Type="http://schemas.openxmlformats.org/officeDocument/2006/relationships/image" Target="media/image1195.png"/><Relationship Id="rId1206" Type="http://schemas.openxmlformats.org/officeDocument/2006/relationships/image" Target="media/image1196.png"/><Relationship Id="rId1207" Type="http://schemas.openxmlformats.org/officeDocument/2006/relationships/image" Target="media/image1197.png"/><Relationship Id="rId1208" Type="http://schemas.openxmlformats.org/officeDocument/2006/relationships/image" Target="media/image1198.png"/><Relationship Id="rId1209" Type="http://schemas.openxmlformats.org/officeDocument/2006/relationships/image" Target="media/image1199.png"/><Relationship Id="rId1210" Type="http://schemas.openxmlformats.org/officeDocument/2006/relationships/image" Target="media/image1200.png"/><Relationship Id="rId1211" Type="http://schemas.openxmlformats.org/officeDocument/2006/relationships/image" Target="media/image1201.png"/><Relationship Id="rId1212" Type="http://schemas.openxmlformats.org/officeDocument/2006/relationships/image" Target="media/image1202.png"/><Relationship Id="rId1213" Type="http://schemas.openxmlformats.org/officeDocument/2006/relationships/image" Target="media/image1203.png"/><Relationship Id="rId1214" Type="http://schemas.openxmlformats.org/officeDocument/2006/relationships/image" Target="media/image1204.png"/><Relationship Id="rId1215" Type="http://schemas.openxmlformats.org/officeDocument/2006/relationships/image" Target="media/image1205.png"/><Relationship Id="rId1216" Type="http://schemas.openxmlformats.org/officeDocument/2006/relationships/image" Target="media/image1206.png"/><Relationship Id="rId1217" Type="http://schemas.openxmlformats.org/officeDocument/2006/relationships/image" Target="media/image1207.png"/><Relationship Id="rId1218" Type="http://schemas.openxmlformats.org/officeDocument/2006/relationships/image" Target="media/image1208.png"/><Relationship Id="rId1219" Type="http://schemas.openxmlformats.org/officeDocument/2006/relationships/image" Target="media/image1209.png"/><Relationship Id="rId1220" Type="http://schemas.openxmlformats.org/officeDocument/2006/relationships/image" Target="media/image1210.png"/><Relationship Id="rId1221" Type="http://schemas.openxmlformats.org/officeDocument/2006/relationships/image" Target="media/image1211.png"/><Relationship Id="rId1222" Type="http://schemas.openxmlformats.org/officeDocument/2006/relationships/image" Target="media/image1212.png"/><Relationship Id="rId1223" Type="http://schemas.openxmlformats.org/officeDocument/2006/relationships/image" Target="media/image1213.png"/><Relationship Id="rId1224" Type="http://schemas.openxmlformats.org/officeDocument/2006/relationships/image" Target="media/image1214.png"/><Relationship Id="rId1225" Type="http://schemas.openxmlformats.org/officeDocument/2006/relationships/image" Target="media/image1215.png"/><Relationship Id="rId1226" Type="http://schemas.openxmlformats.org/officeDocument/2006/relationships/image" Target="media/image1216.png"/><Relationship Id="rId1227" Type="http://schemas.openxmlformats.org/officeDocument/2006/relationships/image" Target="media/image1217.png"/><Relationship Id="rId1228" Type="http://schemas.openxmlformats.org/officeDocument/2006/relationships/image" Target="media/image1218.png"/><Relationship Id="rId1229" Type="http://schemas.openxmlformats.org/officeDocument/2006/relationships/image" Target="media/image1219.png"/><Relationship Id="rId1230" Type="http://schemas.openxmlformats.org/officeDocument/2006/relationships/image" Target="media/image1220.png"/><Relationship Id="rId1231" Type="http://schemas.openxmlformats.org/officeDocument/2006/relationships/image" Target="media/image1221.png"/><Relationship Id="rId1232" Type="http://schemas.openxmlformats.org/officeDocument/2006/relationships/image" Target="media/image1222.png"/><Relationship Id="rId1233" Type="http://schemas.openxmlformats.org/officeDocument/2006/relationships/image" Target="media/image1223.png"/><Relationship Id="rId1234" Type="http://schemas.openxmlformats.org/officeDocument/2006/relationships/image" Target="media/image1224.png"/><Relationship Id="rId1235" Type="http://schemas.openxmlformats.org/officeDocument/2006/relationships/image" Target="media/image1225.png"/><Relationship Id="rId1236" Type="http://schemas.openxmlformats.org/officeDocument/2006/relationships/image" Target="media/image1226.png"/><Relationship Id="rId1237" Type="http://schemas.openxmlformats.org/officeDocument/2006/relationships/image" Target="media/image1227.png"/><Relationship Id="rId1238" Type="http://schemas.openxmlformats.org/officeDocument/2006/relationships/image" Target="media/image1228.png"/><Relationship Id="rId1239" Type="http://schemas.openxmlformats.org/officeDocument/2006/relationships/image" Target="media/image1229.png"/><Relationship Id="rId1240" Type="http://schemas.openxmlformats.org/officeDocument/2006/relationships/image" Target="media/image1230.png"/><Relationship Id="rId1241" Type="http://schemas.openxmlformats.org/officeDocument/2006/relationships/image" Target="media/image1231.png"/><Relationship Id="rId1242" Type="http://schemas.openxmlformats.org/officeDocument/2006/relationships/image" Target="media/image1232.png"/><Relationship Id="rId1243" Type="http://schemas.openxmlformats.org/officeDocument/2006/relationships/image" Target="media/image1233.png"/><Relationship Id="rId1244" Type="http://schemas.openxmlformats.org/officeDocument/2006/relationships/image" Target="media/image1234.png"/><Relationship Id="rId1245" Type="http://schemas.openxmlformats.org/officeDocument/2006/relationships/image" Target="media/image1235.png"/><Relationship Id="rId1246" Type="http://schemas.openxmlformats.org/officeDocument/2006/relationships/image" Target="media/image1236.png"/><Relationship Id="rId1247" Type="http://schemas.openxmlformats.org/officeDocument/2006/relationships/image" Target="media/image1237.png"/><Relationship Id="rId1248" Type="http://schemas.openxmlformats.org/officeDocument/2006/relationships/image" Target="media/image1238.png"/><Relationship Id="rId1249" Type="http://schemas.openxmlformats.org/officeDocument/2006/relationships/image" Target="media/image1239.png"/><Relationship Id="rId1250" Type="http://schemas.openxmlformats.org/officeDocument/2006/relationships/image" Target="media/image1240.png"/><Relationship Id="rId1251" Type="http://schemas.openxmlformats.org/officeDocument/2006/relationships/image" Target="media/image1241.png"/><Relationship Id="rId1252" Type="http://schemas.openxmlformats.org/officeDocument/2006/relationships/image" Target="media/image1242.png"/><Relationship Id="rId1253" Type="http://schemas.openxmlformats.org/officeDocument/2006/relationships/image" Target="media/image1243.png"/><Relationship Id="rId1254" Type="http://schemas.openxmlformats.org/officeDocument/2006/relationships/image" Target="media/image1244.png"/><Relationship Id="rId1255" Type="http://schemas.openxmlformats.org/officeDocument/2006/relationships/image" Target="media/image1245.png"/><Relationship Id="rId1256" Type="http://schemas.openxmlformats.org/officeDocument/2006/relationships/image" Target="media/image1246.png"/><Relationship Id="rId1257" Type="http://schemas.openxmlformats.org/officeDocument/2006/relationships/image" Target="media/image1247.png"/><Relationship Id="rId1258" Type="http://schemas.openxmlformats.org/officeDocument/2006/relationships/image" Target="media/image1248.png"/><Relationship Id="rId1259" Type="http://schemas.openxmlformats.org/officeDocument/2006/relationships/image" Target="media/image1249.png"/><Relationship Id="rId1260" Type="http://schemas.openxmlformats.org/officeDocument/2006/relationships/image" Target="media/image1250.png"/><Relationship Id="rId1261" Type="http://schemas.openxmlformats.org/officeDocument/2006/relationships/image" Target="media/image1251.png"/><Relationship Id="rId1262" Type="http://schemas.openxmlformats.org/officeDocument/2006/relationships/image" Target="media/image1252.png"/><Relationship Id="rId1263" Type="http://schemas.openxmlformats.org/officeDocument/2006/relationships/image" Target="media/image1253.png"/><Relationship Id="rId1264" Type="http://schemas.openxmlformats.org/officeDocument/2006/relationships/image" Target="media/image1254.png"/><Relationship Id="rId1265" Type="http://schemas.openxmlformats.org/officeDocument/2006/relationships/image" Target="media/image1255.png"/><Relationship Id="rId1266" Type="http://schemas.openxmlformats.org/officeDocument/2006/relationships/image" Target="media/image1256.png"/><Relationship Id="rId1267" Type="http://schemas.openxmlformats.org/officeDocument/2006/relationships/image" Target="media/image1257.png"/><Relationship Id="rId1268" Type="http://schemas.openxmlformats.org/officeDocument/2006/relationships/image" Target="media/image1258.png"/><Relationship Id="rId1269" Type="http://schemas.openxmlformats.org/officeDocument/2006/relationships/image" Target="media/image1259.png"/><Relationship Id="rId1270" Type="http://schemas.openxmlformats.org/officeDocument/2006/relationships/image" Target="media/image1260.png"/><Relationship Id="rId1271" Type="http://schemas.openxmlformats.org/officeDocument/2006/relationships/image" Target="media/image1261.png"/><Relationship Id="rId1272" Type="http://schemas.openxmlformats.org/officeDocument/2006/relationships/image" Target="media/image1262.png"/><Relationship Id="rId1273" Type="http://schemas.openxmlformats.org/officeDocument/2006/relationships/image" Target="media/image1263.png"/><Relationship Id="rId1274" Type="http://schemas.openxmlformats.org/officeDocument/2006/relationships/image" Target="media/image1264.png"/><Relationship Id="rId1275" Type="http://schemas.openxmlformats.org/officeDocument/2006/relationships/image" Target="media/image1265.png"/><Relationship Id="rId1276" Type="http://schemas.openxmlformats.org/officeDocument/2006/relationships/image" Target="media/image1266.png"/><Relationship Id="rId1277" Type="http://schemas.openxmlformats.org/officeDocument/2006/relationships/image" Target="media/image1267.png"/><Relationship Id="rId1278" Type="http://schemas.openxmlformats.org/officeDocument/2006/relationships/image" Target="media/image1268.png"/><Relationship Id="rId1279" Type="http://schemas.openxmlformats.org/officeDocument/2006/relationships/image" Target="media/image1269.png"/><Relationship Id="rId1280" Type="http://schemas.openxmlformats.org/officeDocument/2006/relationships/image" Target="media/image1270.png"/><Relationship Id="rId1281" Type="http://schemas.openxmlformats.org/officeDocument/2006/relationships/image" Target="media/image1271.png"/><Relationship Id="rId1282" Type="http://schemas.openxmlformats.org/officeDocument/2006/relationships/image" Target="media/image1272.png"/><Relationship Id="rId1283" Type="http://schemas.openxmlformats.org/officeDocument/2006/relationships/image" Target="media/image1273.png"/><Relationship Id="rId1284" Type="http://schemas.openxmlformats.org/officeDocument/2006/relationships/image" Target="media/image1274.png"/><Relationship Id="rId1285" Type="http://schemas.openxmlformats.org/officeDocument/2006/relationships/image" Target="media/image1275.png"/><Relationship Id="rId1286" Type="http://schemas.openxmlformats.org/officeDocument/2006/relationships/image" Target="media/image1276.png"/><Relationship Id="rId1287" Type="http://schemas.openxmlformats.org/officeDocument/2006/relationships/image" Target="media/image1277.png"/><Relationship Id="rId1288" Type="http://schemas.openxmlformats.org/officeDocument/2006/relationships/image" Target="media/image1278.png"/><Relationship Id="rId1289" Type="http://schemas.openxmlformats.org/officeDocument/2006/relationships/image" Target="media/image1279.png"/><Relationship Id="rId1290" Type="http://schemas.openxmlformats.org/officeDocument/2006/relationships/image" Target="media/image1280.png"/><Relationship Id="rId1291" Type="http://schemas.openxmlformats.org/officeDocument/2006/relationships/image" Target="media/image1281.png"/><Relationship Id="rId1292" Type="http://schemas.openxmlformats.org/officeDocument/2006/relationships/image" Target="media/image1282.png"/><Relationship Id="rId1293" Type="http://schemas.openxmlformats.org/officeDocument/2006/relationships/image" Target="media/image1283.png"/><Relationship Id="rId1294" Type="http://schemas.openxmlformats.org/officeDocument/2006/relationships/image" Target="media/image1284.png"/><Relationship Id="rId1295" Type="http://schemas.openxmlformats.org/officeDocument/2006/relationships/image" Target="media/image1285.png"/><Relationship Id="rId1296" Type="http://schemas.openxmlformats.org/officeDocument/2006/relationships/image" Target="media/image1286.png"/><Relationship Id="rId1297" Type="http://schemas.openxmlformats.org/officeDocument/2006/relationships/image" Target="media/image1287.png"/><Relationship Id="rId1298" Type="http://schemas.openxmlformats.org/officeDocument/2006/relationships/image" Target="media/image1288.png"/><Relationship Id="rId1299" Type="http://schemas.openxmlformats.org/officeDocument/2006/relationships/image" Target="media/image1289.png"/><Relationship Id="rId1300" Type="http://schemas.openxmlformats.org/officeDocument/2006/relationships/image" Target="media/image1290.png"/><Relationship Id="rId1301" Type="http://schemas.openxmlformats.org/officeDocument/2006/relationships/image" Target="media/image1291.png"/><Relationship Id="rId1302" Type="http://schemas.openxmlformats.org/officeDocument/2006/relationships/image" Target="media/image1292.png"/><Relationship Id="rId1303" Type="http://schemas.openxmlformats.org/officeDocument/2006/relationships/image" Target="media/image1293.png"/><Relationship Id="rId1304" Type="http://schemas.openxmlformats.org/officeDocument/2006/relationships/image" Target="media/image1294.png"/><Relationship Id="rId1305" Type="http://schemas.openxmlformats.org/officeDocument/2006/relationships/image" Target="media/image1295.png"/><Relationship Id="rId1306" Type="http://schemas.openxmlformats.org/officeDocument/2006/relationships/image" Target="media/image1296.png"/><Relationship Id="rId1307" Type="http://schemas.openxmlformats.org/officeDocument/2006/relationships/image" Target="media/image1297.png"/><Relationship Id="rId1308" Type="http://schemas.openxmlformats.org/officeDocument/2006/relationships/image" Target="media/image1298.png"/><Relationship Id="rId1309" Type="http://schemas.openxmlformats.org/officeDocument/2006/relationships/image" Target="media/image1299.png"/><Relationship Id="rId1310" Type="http://schemas.openxmlformats.org/officeDocument/2006/relationships/image" Target="media/image1300.png"/><Relationship Id="rId1311" Type="http://schemas.openxmlformats.org/officeDocument/2006/relationships/image" Target="media/image1301.png"/><Relationship Id="rId1312" Type="http://schemas.openxmlformats.org/officeDocument/2006/relationships/image" Target="media/image1302.png"/><Relationship Id="rId1313" Type="http://schemas.openxmlformats.org/officeDocument/2006/relationships/image" Target="media/image1303.png"/><Relationship Id="rId1314" Type="http://schemas.openxmlformats.org/officeDocument/2006/relationships/image" Target="media/image1304.png"/><Relationship Id="rId1315" Type="http://schemas.openxmlformats.org/officeDocument/2006/relationships/image" Target="media/image1305.png"/><Relationship Id="rId1316" Type="http://schemas.openxmlformats.org/officeDocument/2006/relationships/image" Target="media/image1306.png"/><Relationship Id="rId1317" Type="http://schemas.openxmlformats.org/officeDocument/2006/relationships/image" Target="media/image1307.png"/><Relationship Id="rId1318" Type="http://schemas.openxmlformats.org/officeDocument/2006/relationships/image" Target="media/image1308.png"/><Relationship Id="rId1319" Type="http://schemas.openxmlformats.org/officeDocument/2006/relationships/image" Target="media/image1309.png"/><Relationship Id="rId1320" Type="http://schemas.openxmlformats.org/officeDocument/2006/relationships/image" Target="media/image1310.png"/><Relationship Id="rId1321" Type="http://schemas.openxmlformats.org/officeDocument/2006/relationships/image" Target="media/image1311.png"/><Relationship Id="rId1322" Type="http://schemas.openxmlformats.org/officeDocument/2006/relationships/image" Target="media/image1312.png"/><Relationship Id="rId1323" Type="http://schemas.openxmlformats.org/officeDocument/2006/relationships/image" Target="media/image1313.png"/><Relationship Id="rId1324" Type="http://schemas.openxmlformats.org/officeDocument/2006/relationships/image" Target="media/image1314.png"/><Relationship Id="rId1325" Type="http://schemas.openxmlformats.org/officeDocument/2006/relationships/image" Target="media/image1315.png"/><Relationship Id="rId1326" Type="http://schemas.openxmlformats.org/officeDocument/2006/relationships/image" Target="media/image1316.png"/><Relationship Id="rId1327" Type="http://schemas.openxmlformats.org/officeDocument/2006/relationships/image" Target="media/image1317.png"/><Relationship Id="rId1328" Type="http://schemas.openxmlformats.org/officeDocument/2006/relationships/image" Target="media/image1318.png"/><Relationship Id="rId1329" Type="http://schemas.openxmlformats.org/officeDocument/2006/relationships/image" Target="media/image1319.png"/><Relationship Id="rId1330" Type="http://schemas.openxmlformats.org/officeDocument/2006/relationships/image" Target="media/image1320.png"/><Relationship Id="rId1331" Type="http://schemas.openxmlformats.org/officeDocument/2006/relationships/image" Target="media/image1321.png"/><Relationship Id="rId1332" Type="http://schemas.openxmlformats.org/officeDocument/2006/relationships/image" Target="media/image1322.png"/><Relationship Id="rId1333" Type="http://schemas.openxmlformats.org/officeDocument/2006/relationships/image" Target="media/image1323.png"/><Relationship Id="rId1334" Type="http://schemas.openxmlformats.org/officeDocument/2006/relationships/image" Target="media/image1324.png"/><Relationship Id="rId1335" Type="http://schemas.openxmlformats.org/officeDocument/2006/relationships/image" Target="media/image1325.png"/><Relationship Id="rId1336" Type="http://schemas.openxmlformats.org/officeDocument/2006/relationships/image" Target="media/image1326.png"/><Relationship Id="rId1337" Type="http://schemas.openxmlformats.org/officeDocument/2006/relationships/image" Target="media/image1327.png"/><Relationship Id="rId1338" Type="http://schemas.openxmlformats.org/officeDocument/2006/relationships/image" Target="media/image1328.png"/><Relationship Id="rId1339" Type="http://schemas.openxmlformats.org/officeDocument/2006/relationships/image" Target="media/image1329.png"/><Relationship Id="rId1340" Type="http://schemas.openxmlformats.org/officeDocument/2006/relationships/image" Target="media/image1330.png"/><Relationship Id="rId1341" Type="http://schemas.openxmlformats.org/officeDocument/2006/relationships/image" Target="media/image1331.png"/><Relationship Id="rId1342" Type="http://schemas.openxmlformats.org/officeDocument/2006/relationships/image" Target="media/image1332.png"/><Relationship Id="rId1343" Type="http://schemas.openxmlformats.org/officeDocument/2006/relationships/image" Target="media/image1333.png"/><Relationship Id="rId1344" Type="http://schemas.openxmlformats.org/officeDocument/2006/relationships/image" Target="media/image1334.png"/><Relationship Id="rId1345" Type="http://schemas.openxmlformats.org/officeDocument/2006/relationships/image" Target="media/image1335.png"/><Relationship Id="rId1346" Type="http://schemas.openxmlformats.org/officeDocument/2006/relationships/image" Target="media/image1336.png"/><Relationship Id="rId1347" Type="http://schemas.openxmlformats.org/officeDocument/2006/relationships/image" Target="media/image1337.png"/><Relationship Id="rId1348" Type="http://schemas.openxmlformats.org/officeDocument/2006/relationships/image" Target="media/image1338.png"/><Relationship Id="rId1349" Type="http://schemas.openxmlformats.org/officeDocument/2006/relationships/image" Target="media/image1339.png"/><Relationship Id="rId1350" Type="http://schemas.openxmlformats.org/officeDocument/2006/relationships/image" Target="media/image1340.png"/><Relationship Id="rId1351" Type="http://schemas.openxmlformats.org/officeDocument/2006/relationships/image" Target="media/image1341.png"/><Relationship Id="rId1352" Type="http://schemas.openxmlformats.org/officeDocument/2006/relationships/image" Target="media/image1342.png"/><Relationship Id="rId1353" Type="http://schemas.openxmlformats.org/officeDocument/2006/relationships/image" Target="media/image1343.png"/><Relationship Id="rId1354" Type="http://schemas.openxmlformats.org/officeDocument/2006/relationships/image" Target="media/image1344.png"/><Relationship Id="rId1355" Type="http://schemas.openxmlformats.org/officeDocument/2006/relationships/image" Target="media/image1345.png"/><Relationship Id="rId1356" Type="http://schemas.openxmlformats.org/officeDocument/2006/relationships/image" Target="media/image1346.png"/><Relationship Id="rId1357" Type="http://schemas.openxmlformats.org/officeDocument/2006/relationships/image" Target="media/image1347.png"/><Relationship Id="rId1358" Type="http://schemas.openxmlformats.org/officeDocument/2006/relationships/image" Target="media/image1348.png"/><Relationship Id="rId1359" Type="http://schemas.openxmlformats.org/officeDocument/2006/relationships/image" Target="media/image1349.png"/><Relationship Id="rId1360" Type="http://schemas.openxmlformats.org/officeDocument/2006/relationships/image" Target="media/image1350.png"/><Relationship Id="rId1361" Type="http://schemas.openxmlformats.org/officeDocument/2006/relationships/image" Target="media/image1351.png"/><Relationship Id="rId1362" Type="http://schemas.openxmlformats.org/officeDocument/2006/relationships/image" Target="media/image1352.png"/><Relationship Id="rId1363" Type="http://schemas.openxmlformats.org/officeDocument/2006/relationships/image" Target="media/image1353.png"/><Relationship Id="rId1364" Type="http://schemas.openxmlformats.org/officeDocument/2006/relationships/image" Target="media/image1354.png"/><Relationship Id="rId1365" Type="http://schemas.openxmlformats.org/officeDocument/2006/relationships/image" Target="media/image1355.png"/><Relationship Id="rId1366" Type="http://schemas.openxmlformats.org/officeDocument/2006/relationships/image" Target="media/image1356.png"/><Relationship Id="rId1367" Type="http://schemas.openxmlformats.org/officeDocument/2006/relationships/image" Target="media/image1357.png"/><Relationship Id="rId1368" Type="http://schemas.openxmlformats.org/officeDocument/2006/relationships/image" Target="media/image1358.png"/><Relationship Id="rId1369" Type="http://schemas.openxmlformats.org/officeDocument/2006/relationships/image" Target="media/image1359.png"/><Relationship Id="rId1370" Type="http://schemas.openxmlformats.org/officeDocument/2006/relationships/image" Target="media/image1360.png"/><Relationship Id="rId1371" Type="http://schemas.openxmlformats.org/officeDocument/2006/relationships/image" Target="media/image1361.png"/><Relationship Id="rId1372" Type="http://schemas.openxmlformats.org/officeDocument/2006/relationships/image" Target="media/image1362.png"/><Relationship Id="rId1373" Type="http://schemas.openxmlformats.org/officeDocument/2006/relationships/image" Target="media/image1363.png"/><Relationship Id="rId1374" Type="http://schemas.openxmlformats.org/officeDocument/2006/relationships/image" Target="media/image1364.png"/><Relationship Id="rId1375" Type="http://schemas.openxmlformats.org/officeDocument/2006/relationships/image" Target="media/image1365.png"/><Relationship Id="rId1376" Type="http://schemas.openxmlformats.org/officeDocument/2006/relationships/image" Target="media/image1366.png"/><Relationship Id="rId1377" Type="http://schemas.openxmlformats.org/officeDocument/2006/relationships/image" Target="media/image1367.png"/><Relationship Id="rId1378" Type="http://schemas.openxmlformats.org/officeDocument/2006/relationships/image" Target="media/image1368.png"/><Relationship Id="rId1379" Type="http://schemas.openxmlformats.org/officeDocument/2006/relationships/image" Target="media/image1369.png"/><Relationship Id="rId1380" Type="http://schemas.openxmlformats.org/officeDocument/2006/relationships/image" Target="media/image1370.png"/><Relationship Id="rId1381" Type="http://schemas.openxmlformats.org/officeDocument/2006/relationships/image" Target="media/image1371.png"/><Relationship Id="rId1382" Type="http://schemas.openxmlformats.org/officeDocument/2006/relationships/image" Target="media/image1372.png"/><Relationship Id="rId1383" Type="http://schemas.openxmlformats.org/officeDocument/2006/relationships/image" Target="media/image1373.png"/><Relationship Id="rId1384" Type="http://schemas.openxmlformats.org/officeDocument/2006/relationships/image" Target="media/image1374.png"/><Relationship Id="rId1385" Type="http://schemas.openxmlformats.org/officeDocument/2006/relationships/image" Target="media/image1375.png"/><Relationship Id="rId1386" Type="http://schemas.openxmlformats.org/officeDocument/2006/relationships/image" Target="media/image1376.png"/><Relationship Id="rId1387" Type="http://schemas.openxmlformats.org/officeDocument/2006/relationships/image" Target="media/image1377.png"/><Relationship Id="rId1388" Type="http://schemas.openxmlformats.org/officeDocument/2006/relationships/image" Target="media/image1378.png"/><Relationship Id="rId1389" Type="http://schemas.openxmlformats.org/officeDocument/2006/relationships/image" Target="media/image1379.png"/><Relationship Id="rId1390" Type="http://schemas.openxmlformats.org/officeDocument/2006/relationships/image" Target="media/image1380.png"/><Relationship Id="rId1391" Type="http://schemas.openxmlformats.org/officeDocument/2006/relationships/image" Target="media/image1381.png"/><Relationship Id="rId1392" Type="http://schemas.openxmlformats.org/officeDocument/2006/relationships/image" Target="media/image1382.png"/><Relationship Id="rId1393" Type="http://schemas.openxmlformats.org/officeDocument/2006/relationships/image" Target="media/image1383.png"/><Relationship Id="rId1394" Type="http://schemas.openxmlformats.org/officeDocument/2006/relationships/image" Target="media/image1384.png"/><Relationship Id="rId1395" Type="http://schemas.openxmlformats.org/officeDocument/2006/relationships/image" Target="media/image1385.png"/><Relationship Id="rId1396" Type="http://schemas.openxmlformats.org/officeDocument/2006/relationships/image" Target="media/image1386.png"/><Relationship Id="rId1397" Type="http://schemas.openxmlformats.org/officeDocument/2006/relationships/image" Target="media/image1387.png"/><Relationship Id="rId1398" Type="http://schemas.openxmlformats.org/officeDocument/2006/relationships/image" Target="media/image1388.png"/><Relationship Id="rId1399" Type="http://schemas.openxmlformats.org/officeDocument/2006/relationships/image" Target="media/image1389.png"/><Relationship Id="rId1400" Type="http://schemas.openxmlformats.org/officeDocument/2006/relationships/image" Target="media/image1390.png"/><Relationship Id="rId1401" Type="http://schemas.openxmlformats.org/officeDocument/2006/relationships/image" Target="media/image1391.png"/><Relationship Id="rId1402" Type="http://schemas.openxmlformats.org/officeDocument/2006/relationships/image" Target="media/image1392.png"/><Relationship Id="rId1403" Type="http://schemas.openxmlformats.org/officeDocument/2006/relationships/image" Target="media/image1393.png"/><Relationship Id="rId1404" Type="http://schemas.openxmlformats.org/officeDocument/2006/relationships/image" Target="media/image1394.png"/><Relationship Id="rId1405" Type="http://schemas.openxmlformats.org/officeDocument/2006/relationships/image" Target="media/image1395.png"/><Relationship Id="rId1406" Type="http://schemas.openxmlformats.org/officeDocument/2006/relationships/image" Target="media/image1396.png"/><Relationship Id="rId1407" Type="http://schemas.openxmlformats.org/officeDocument/2006/relationships/image" Target="media/image1397.png"/><Relationship Id="rId1408" Type="http://schemas.openxmlformats.org/officeDocument/2006/relationships/image" Target="media/image1398.png"/><Relationship Id="rId1409" Type="http://schemas.openxmlformats.org/officeDocument/2006/relationships/image" Target="media/image1399.png"/><Relationship Id="rId1410" Type="http://schemas.openxmlformats.org/officeDocument/2006/relationships/image" Target="media/image1400.png"/><Relationship Id="rId1411" Type="http://schemas.openxmlformats.org/officeDocument/2006/relationships/image" Target="media/image1401.png"/><Relationship Id="rId1412" Type="http://schemas.openxmlformats.org/officeDocument/2006/relationships/image" Target="media/image1402.png"/><Relationship Id="rId1413" Type="http://schemas.openxmlformats.org/officeDocument/2006/relationships/image" Target="media/image1403.png"/><Relationship Id="rId1414" Type="http://schemas.openxmlformats.org/officeDocument/2006/relationships/image" Target="media/image1404.png"/><Relationship Id="rId1415" Type="http://schemas.openxmlformats.org/officeDocument/2006/relationships/image" Target="media/image1405.png"/><Relationship Id="rId1416" Type="http://schemas.openxmlformats.org/officeDocument/2006/relationships/image" Target="media/image1406.png"/><Relationship Id="rId1417" Type="http://schemas.openxmlformats.org/officeDocument/2006/relationships/image" Target="media/image1407.png"/><Relationship Id="rId1418" Type="http://schemas.openxmlformats.org/officeDocument/2006/relationships/image" Target="media/image1408.png"/><Relationship Id="rId1419" Type="http://schemas.openxmlformats.org/officeDocument/2006/relationships/image" Target="media/image1409.png"/><Relationship Id="rId1420" Type="http://schemas.openxmlformats.org/officeDocument/2006/relationships/image" Target="media/image1410.png"/><Relationship Id="rId1421" Type="http://schemas.openxmlformats.org/officeDocument/2006/relationships/image" Target="media/image1411.png"/><Relationship Id="rId1422" Type="http://schemas.openxmlformats.org/officeDocument/2006/relationships/image" Target="media/image1412.png"/><Relationship Id="rId1423" Type="http://schemas.openxmlformats.org/officeDocument/2006/relationships/image" Target="media/image1413.png"/><Relationship Id="rId1424" Type="http://schemas.openxmlformats.org/officeDocument/2006/relationships/image" Target="media/image1414.png"/><Relationship Id="rId1425" Type="http://schemas.openxmlformats.org/officeDocument/2006/relationships/image" Target="media/image1415.png"/><Relationship Id="rId1426" Type="http://schemas.openxmlformats.org/officeDocument/2006/relationships/image" Target="media/image1416.png"/><Relationship Id="rId1427" Type="http://schemas.openxmlformats.org/officeDocument/2006/relationships/image" Target="media/image1417.png"/><Relationship Id="rId1428" Type="http://schemas.openxmlformats.org/officeDocument/2006/relationships/image" Target="media/image1418.png"/><Relationship Id="rId1429" Type="http://schemas.openxmlformats.org/officeDocument/2006/relationships/image" Target="media/image1419.png"/><Relationship Id="rId1430" Type="http://schemas.openxmlformats.org/officeDocument/2006/relationships/image" Target="media/image1420.png"/><Relationship Id="rId1431" Type="http://schemas.openxmlformats.org/officeDocument/2006/relationships/image" Target="media/image1421.png"/><Relationship Id="rId1432" Type="http://schemas.openxmlformats.org/officeDocument/2006/relationships/image" Target="media/image1422.png"/><Relationship Id="rId1433" Type="http://schemas.openxmlformats.org/officeDocument/2006/relationships/image" Target="media/image1423.png"/><Relationship Id="rId1434" Type="http://schemas.openxmlformats.org/officeDocument/2006/relationships/image" Target="media/image1424.png"/><Relationship Id="rId1435" Type="http://schemas.openxmlformats.org/officeDocument/2006/relationships/image" Target="media/image1425.png"/><Relationship Id="rId1436" Type="http://schemas.openxmlformats.org/officeDocument/2006/relationships/image" Target="media/image1426.png"/><Relationship Id="rId1437" Type="http://schemas.openxmlformats.org/officeDocument/2006/relationships/image" Target="media/image1427.png"/><Relationship Id="rId1438" Type="http://schemas.openxmlformats.org/officeDocument/2006/relationships/image" Target="media/image1428.png"/><Relationship Id="rId1439" Type="http://schemas.openxmlformats.org/officeDocument/2006/relationships/image" Target="media/image1429.png"/><Relationship Id="rId1440" Type="http://schemas.openxmlformats.org/officeDocument/2006/relationships/image" Target="media/image1430.png"/><Relationship Id="rId1441" Type="http://schemas.openxmlformats.org/officeDocument/2006/relationships/image" Target="media/image1431.png"/><Relationship Id="rId1442" Type="http://schemas.openxmlformats.org/officeDocument/2006/relationships/image" Target="media/image1432.png"/><Relationship Id="rId1443" Type="http://schemas.openxmlformats.org/officeDocument/2006/relationships/image" Target="media/image1433.png"/><Relationship Id="rId1444" Type="http://schemas.openxmlformats.org/officeDocument/2006/relationships/image" Target="media/image1434.png"/><Relationship Id="rId1445" Type="http://schemas.openxmlformats.org/officeDocument/2006/relationships/image" Target="media/image1435.png"/><Relationship Id="rId1446" Type="http://schemas.openxmlformats.org/officeDocument/2006/relationships/image" Target="media/image1436.png"/><Relationship Id="rId1447" Type="http://schemas.openxmlformats.org/officeDocument/2006/relationships/image" Target="media/image1437.png"/><Relationship Id="rId1448" Type="http://schemas.openxmlformats.org/officeDocument/2006/relationships/image" Target="media/image1438.png"/><Relationship Id="rId1449" Type="http://schemas.openxmlformats.org/officeDocument/2006/relationships/image" Target="media/image1439.png"/><Relationship Id="rId1450" Type="http://schemas.openxmlformats.org/officeDocument/2006/relationships/image" Target="media/image1440.png"/><Relationship Id="rId1451" Type="http://schemas.openxmlformats.org/officeDocument/2006/relationships/image" Target="media/image1441.png"/><Relationship Id="rId1452" Type="http://schemas.openxmlformats.org/officeDocument/2006/relationships/image" Target="media/image1442.png"/><Relationship Id="rId1453" Type="http://schemas.openxmlformats.org/officeDocument/2006/relationships/image" Target="media/image1443.png"/><Relationship Id="rId1454" Type="http://schemas.openxmlformats.org/officeDocument/2006/relationships/image" Target="media/image1444.png"/><Relationship Id="rId1455" Type="http://schemas.openxmlformats.org/officeDocument/2006/relationships/image" Target="media/image1445.png"/><Relationship Id="rId1456" Type="http://schemas.openxmlformats.org/officeDocument/2006/relationships/image" Target="media/image1446.png"/><Relationship Id="rId1457" Type="http://schemas.openxmlformats.org/officeDocument/2006/relationships/image" Target="media/image1447.png"/><Relationship Id="rId1458" Type="http://schemas.openxmlformats.org/officeDocument/2006/relationships/image" Target="media/image1448.png"/><Relationship Id="rId1459" Type="http://schemas.openxmlformats.org/officeDocument/2006/relationships/image" Target="media/image1449.png"/><Relationship Id="rId1460" Type="http://schemas.openxmlformats.org/officeDocument/2006/relationships/image" Target="media/image1450.png"/><Relationship Id="rId1461" Type="http://schemas.openxmlformats.org/officeDocument/2006/relationships/image" Target="media/image1451.png"/><Relationship Id="rId1462" Type="http://schemas.openxmlformats.org/officeDocument/2006/relationships/image" Target="media/image1452.png"/><Relationship Id="rId1463" Type="http://schemas.openxmlformats.org/officeDocument/2006/relationships/image" Target="media/image1453.png"/><Relationship Id="rId1464" Type="http://schemas.openxmlformats.org/officeDocument/2006/relationships/image" Target="media/image1454.png"/><Relationship Id="rId1465" Type="http://schemas.openxmlformats.org/officeDocument/2006/relationships/image" Target="media/image1455.png"/><Relationship Id="rId1466" Type="http://schemas.openxmlformats.org/officeDocument/2006/relationships/image" Target="media/image1456.png"/><Relationship Id="rId1467" Type="http://schemas.openxmlformats.org/officeDocument/2006/relationships/image" Target="media/image1457.png"/><Relationship Id="rId1468" Type="http://schemas.openxmlformats.org/officeDocument/2006/relationships/image" Target="media/image1458.png"/><Relationship Id="rId1469" Type="http://schemas.openxmlformats.org/officeDocument/2006/relationships/image" Target="media/image1459.png"/><Relationship Id="rId1470" Type="http://schemas.openxmlformats.org/officeDocument/2006/relationships/image" Target="media/image1460.png"/><Relationship Id="rId1471" Type="http://schemas.openxmlformats.org/officeDocument/2006/relationships/image" Target="media/image1461.png"/><Relationship Id="rId1472" Type="http://schemas.openxmlformats.org/officeDocument/2006/relationships/image" Target="media/image1462.png"/><Relationship Id="rId1473" Type="http://schemas.openxmlformats.org/officeDocument/2006/relationships/image" Target="media/image1463.png"/><Relationship Id="rId1474" Type="http://schemas.openxmlformats.org/officeDocument/2006/relationships/image" Target="media/image1464.png"/><Relationship Id="rId1475" Type="http://schemas.openxmlformats.org/officeDocument/2006/relationships/image" Target="media/image1465.png"/><Relationship Id="rId1476" Type="http://schemas.openxmlformats.org/officeDocument/2006/relationships/image" Target="media/image1466.png"/><Relationship Id="rId1477" Type="http://schemas.openxmlformats.org/officeDocument/2006/relationships/image" Target="media/image1467.png"/><Relationship Id="rId1478" Type="http://schemas.openxmlformats.org/officeDocument/2006/relationships/image" Target="media/image1468.png"/><Relationship Id="rId1479" Type="http://schemas.openxmlformats.org/officeDocument/2006/relationships/image" Target="media/image1469.png"/><Relationship Id="rId1480" Type="http://schemas.openxmlformats.org/officeDocument/2006/relationships/image" Target="media/image1470.png"/><Relationship Id="rId1481" Type="http://schemas.openxmlformats.org/officeDocument/2006/relationships/image" Target="media/image1471.png"/><Relationship Id="rId1482" Type="http://schemas.openxmlformats.org/officeDocument/2006/relationships/image" Target="media/image1472.png"/><Relationship Id="rId1483" Type="http://schemas.openxmlformats.org/officeDocument/2006/relationships/image" Target="media/image1473.png"/><Relationship Id="rId1484" Type="http://schemas.openxmlformats.org/officeDocument/2006/relationships/image" Target="media/image1474.png"/><Relationship Id="rId1485" Type="http://schemas.openxmlformats.org/officeDocument/2006/relationships/image" Target="media/image1475.png"/><Relationship Id="rId1486" Type="http://schemas.openxmlformats.org/officeDocument/2006/relationships/image" Target="media/image1476.png"/><Relationship Id="rId1487" Type="http://schemas.openxmlformats.org/officeDocument/2006/relationships/image" Target="media/image1477.png"/><Relationship Id="rId1488" Type="http://schemas.openxmlformats.org/officeDocument/2006/relationships/image" Target="media/image1478.png"/><Relationship Id="rId1489" Type="http://schemas.openxmlformats.org/officeDocument/2006/relationships/image" Target="media/image1479.png"/><Relationship Id="rId1490" Type="http://schemas.openxmlformats.org/officeDocument/2006/relationships/image" Target="media/image1480.png"/><Relationship Id="rId1491" Type="http://schemas.openxmlformats.org/officeDocument/2006/relationships/image" Target="media/image1481.png"/><Relationship Id="rId1492" Type="http://schemas.openxmlformats.org/officeDocument/2006/relationships/image" Target="media/image1482.png"/><Relationship Id="rId1493" Type="http://schemas.openxmlformats.org/officeDocument/2006/relationships/image" Target="media/image1483.png"/><Relationship Id="rId1494" Type="http://schemas.openxmlformats.org/officeDocument/2006/relationships/image" Target="media/image1484.png"/><Relationship Id="rId1495" Type="http://schemas.openxmlformats.org/officeDocument/2006/relationships/image" Target="media/image1485.png"/><Relationship Id="rId1496" Type="http://schemas.openxmlformats.org/officeDocument/2006/relationships/image" Target="media/image1486.png"/><Relationship Id="rId1497" Type="http://schemas.openxmlformats.org/officeDocument/2006/relationships/image" Target="media/image1487.png"/><Relationship Id="rId1498" Type="http://schemas.openxmlformats.org/officeDocument/2006/relationships/image" Target="media/image1488.png"/><Relationship Id="rId1499" Type="http://schemas.openxmlformats.org/officeDocument/2006/relationships/image" Target="media/image1489.png"/><Relationship Id="rId1500" Type="http://schemas.openxmlformats.org/officeDocument/2006/relationships/image" Target="media/image1490.png"/><Relationship Id="rId1501" Type="http://schemas.openxmlformats.org/officeDocument/2006/relationships/image" Target="media/image1491.png"/><Relationship Id="rId1502" Type="http://schemas.openxmlformats.org/officeDocument/2006/relationships/image" Target="media/image1492.png"/><Relationship Id="rId1503" Type="http://schemas.openxmlformats.org/officeDocument/2006/relationships/image" Target="media/image1493.png"/><Relationship Id="rId1504" Type="http://schemas.openxmlformats.org/officeDocument/2006/relationships/image" Target="media/image1494.png"/><Relationship Id="rId1505" Type="http://schemas.openxmlformats.org/officeDocument/2006/relationships/image" Target="media/image1495.png"/><Relationship Id="rId1506" Type="http://schemas.openxmlformats.org/officeDocument/2006/relationships/image" Target="media/image1496.png"/><Relationship Id="rId1507" Type="http://schemas.openxmlformats.org/officeDocument/2006/relationships/image" Target="media/image1497.png"/><Relationship Id="rId1508" Type="http://schemas.openxmlformats.org/officeDocument/2006/relationships/image" Target="media/image1498.png"/><Relationship Id="rId1509" Type="http://schemas.openxmlformats.org/officeDocument/2006/relationships/image" Target="media/image1499.png"/><Relationship Id="rId1510" Type="http://schemas.openxmlformats.org/officeDocument/2006/relationships/image" Target="media/image1500.png"/><Relationship Id="rId1511" Type="http://schemas.openxmlformats.org/officeDocument/2006/relationships/image" Target="media/image1501.png"/><Relationship Id="rId1512" Type="http://schemas.openxmlformats.org/officeDocument/2006/relationships/image" Target="media/image1502.png"/><Relationship Id="rId1513" Type="http://schemas.openxmlformats.org/officeDocument/2006/relationships/image" Target="media/image1503.png"/><Relationship Id="rId1514" Type="http://schemas.openxmlformats.org/officeDocument/2006/relationships/image" Target="media/image1504.png"/><Relationship Id="rId1515" Type="http://schemas.openxmlformats.org/officeDocument/2006/relationships/image" Target="media/image1505.png"/><Relationship Id="rId1516" Type="http://schemas.openxmlformats.org/officeDocument/2006/relationships/image" Target="media/image1506.png"/><Relationship Id="rId1517" Type="http://schemas.openxmlformats.org/officeDocument/2006/relationships/image" Target="media/image1507.png"/><Relationship Id="rId1518" Type="http://schemas.openxmlformats.org/officeDocument/2006/relationships/image" Target="media/image1508.png"/><Relationship Id="rId1519" Type="http://schemas.openxmlformats.org/officeDocument/2006/relationships/image" Target="media/image1509.png"/><Relationship Id="rId1520" Type="http://schemas.openxmlformats.org/officeDocument/2006/relationships/image" Target="media/image1510.png"/><Relationship Id="rId1521" Type="http://schemas.openxmlformats.org/officeDocument/2006/relationships/image" Target="media/image1511.png"/><Relationship Id="rId1522" Type="http://schemas.openxmlformats.org/officeDocument/2006/relationships/image" Target="media/image1512.png"/><Relationship Id="rId1523" Type="http://schemas.openxmlformats.org/officeDocument/2006/relationships/image" Target="media/image1513.png"/><Relationship Id="rId1524" Type="http://schemas.openxmlformats.org/officeDocument/2006/relationships/image" Target="media/image1514.png"/><Relationship Id="rId1525" Type="http://schemas.openxmlformats.org/officeDocument/2006/relationships/image" Target="media/image1515.png"/><Relationship Id="rId1526" Type="http://schemas.openxmlformats.org/officeDocument/2006/relationships/image" Target="media/image1516.png"/><Relationship Id="rId1527" Type="http://schemas.openxmlformats.org/officeDocument/2006/relationships/image" Target="media/image1517.png"/><Relationship Id="rId1528" Type="http://schemas.openxmlformats.org/officeDocument/2006/relationships/image" Target="media/image1518.png"/><Relationship Id="rId1529" Type="http://schemas.openxmlformats.org/officeDocument/2006/relationships/image" Target="media/image1519.png"/><Relationship Id="rId1530" Type="http://schemas.openxmlformats.org/officeDocument/2006/relationships/image" Target="media/image1520.png"/><Relationship Id="rId1531" Type="http://schemas.openxmlformats.org/officeDocument/2006/relationships/image" Target="media/image1521.png"/><Relationship Id="rId1532" Type="http://schemas.openxmlformats.org/officeDocument/2006/relationships/image" Target="media/image1522.png"/><Relationship Id="rId1533" Type="http://schemas.openxmlformats.org/officeDocument/2006/relationships/image" Target="media/image1523.png"/><Relationship Id="rId1534" Type="http://schemas.openxmlformats.org/officeDocument/2006/relationships/image" Target="media/image1524.png"/><Relationship Id="rId1535" Type="http://schemas.openxmlformats.org/officeDocument/2006/relationships/image" Target="media/image1525.png"/><Relationship Id="rId1536" Type="http://schemas.openxmlformats.org/officeDocument/2006/relationships/image" Target="media/image1526.png"/><Relationship Id="rId1537" Type="http://schemas.openxmlformats.org/officeDocument/2006/relationships/image" Target="media/image1527.png"/><Relationship Id="rId1538" Type="http://schemas.openxmlformats.org/officeDocument/2006/relationships/image" Target="media/image1528.png"/><Relationship Id="rId1539" Type="http://schemas.openxmlformats.org/officeDocument/2006/relationships/image" Target="media/image1529.png"/><Relationship Id="rId1540" Type="http://schemas.openxmlformats.org/officeDocument/2006/relationships/image" Target="media/image1530.png"/><Relationship Id="rId1541" Type="http://schemas.openxmlformats.org/officeDocument/2006/relationships/image" Target="media/image1531.png"/><Relationship Id="rId1542" Type="http://schemas.openxmlformats.org/officeDocument/2006/relationships/image" Target="media/image1532.png"/><Relationship Id="rId1543" Type="http://schemas.openxmlformats.org/officeDocument/2006/relationships/image" Target="media/image1533.png"/><Relationship Id="rId1544" Type="http://schemas.openxmlformats.org/officeDocument/2006/relationships/image" Target="media/image1534.png"/><Relationship Id="rId1545" Type="http://schemas.openxmlformats.org/officeDocument/2006/relationships/image" Target="media/image1535.png"/><Relationship Id="rId1546" Type="http://schemas.openxmlformats.org/officeDocument/2006/relationships/image" Target="media/image1536.png"/><Relationship Id="rId1547" Type="http://schemas.openxmlformats.org/officeDocument/2006/relationships/image" Target="media/image1537.png"/><Relationship Id="rId1548" Type="http://schemas.openxmlformats.org/officeDocument/2006/relationships/image" Target="media/image1538.png"/><Relationship Id="rId1549" Type="http://schemas.openxmlformats.org/officeDocument/2006/relationships/image" Target="media/image1539.png"/><Relationship Id="rId1550" Type="http://schemas.openxmlformats.org/officeDocument/2006/relationships/image" Target="media/image1540.png"/><Relationship Id="rId1551" Type="http://schemas.openxmlformats.org/officeDocument/2006/relationships/image" Target="media/image1541.png"/><Relationship Id="rId1552" Type="http://schemas.openxmlformats.org/officeDocument/2006/relationships/image" Target="media/image1542.png"/><Relationship Id="rId1553" Type="http://schemas.openxmlformats.org/officeDocument/2006/relationships/image" Target="media/image1543.png"/><Relationship Id="rId1554" Type="http://schemas.openxmlformats.org/officeDocument/2006/relationships/image" Target="media/image1544.png"/><Relationship Id="rId1555" Type="http://schemas.openxmlformats.org/officeDocument/2006/relationships/image" Target="media/image1545.png"/><Relationship Id="rId1556" Type="http://schemas.openxmlformats.org/officeDocument/2006/relationships/image" Target="media/image1546.png"/><Relationship Id="rId1557" Type="http://schemas.openxmlformats.org/officeDocument/2006/relationships/image" Target="media/image1547.png"/><Relationship Id="rId1558" Type="http://schemas.openxmlformats.org/officeDocument/2006/relationships/image" Target="media/image1548.png"/><Relationship Id="rId1559" Type="http://schemas.openxmlformats.org/officeDocument/2006/relationships/image" Target="media/image1549.png"/><Relationship Id="rId1560" Type="http://schemas.openxmlformats.org/officeDocument/2006/relationships/image" Target="media/image1550.png"/><Relationship Id="rId1561" Type="http://schemas.openxmlformats.org/officeDocument/2006/relationships/image" Target="media/image1551.png"/><Relationship Id="rId1562" Type="http://schemas.openxmlformats.org/officeDocument/2006/relationships/image" Target="media/image1552.png"/><Relationship Id="rId1563" Type="http://schemas.openxmlformats.org/officeDocument/2006/relationships/image" Target="media/image1553.png"/><Relationship Id="rId1564" Type="http://schemas.openxmlformats.org/officeDocument/2006/relationships/image" Target="media/image1554.png"/><Relationship Id="rId1565" Type="http://schemas.openxmlformats.org/officeDocument/2006/relationships/image" Target="media/image1555.png"/><Relationship Id="rId1566" Type="http://schemas.openxmlformats.org/officeDocument/2006/relationships/image" Target="media/image1556.png"/><Relationship Id="rId1567" Type="http://schemas.openxmlformats.org/officeDocument/2006/relationships/image" Target="media/image1557.png"/><Relationship Id="rId1568" Type="http://schemas.openxmlformats.org/officeDocument/2006/relationships/image" Target="media/image1558.png"/><Relationship Id="rId1569" Type="http://schemas.openxmlformats.org/officeDocument/2006/relationships/image" Target="media/image1559.png"/><Relationship Id="rId1570" Type="http://schemas.openxmlformats.org/officeDocument/2006/relationships/image" Target="media/image1560.png"/><Relationship Id="rId1571" Type="http://schemas.openxmlformats.org/officeDocument/2006/relationships/image" Target="media/image1561.png"/><Relationship Id="rId1572" Type="http://schemas.openxmlformats.org/officeDocument/2006/relationships/image" Target="media/image1562.png"/><Relationship Id="rId1573" Type="http://schemas.openxmlformats.org/officeDocument/2006/relationships/image" Target="media/image1563.png"/><Relationship Id="rId1574" Type="http://schemas.openxmlformats.org/officeDocument/2006/relationships/image" Target="media/image1564.png"/><Relationship Id="rId1575" Type="http://schemas.openxmlformats.org/officeDocument/2006/relationships/image" Target="media/image1565.png"/><Relationship Id="rId1576" Type="http://schemas.openxmlformats.org/officeDocument/2006/relationships/image" Target="media/image1566.png"/><Relationship Id="rId1577" Type="http://schemas.openxmlformats.org/officeDocument/2006/relationships/image" Target="media/image1567.png"/><Relationship Id="rId1578" Type="http://schemas.openxmlformats.org/officeDocument/2006/relationships/image" Target="media/image1568.png"/><Relationship Id="rId1579" Type="http://schemas.openxmlformats.org/officeDocument/2006/relationships/image" Target="media/image1569.png"/><Relationship Id="rId1580" Type="http://schemas.openxmlformats.org/officeDocument/2006/relationships/image" Target="media/image1570.png"/><Relationship Id="rId1581" Type="http://schemas.openxmlformats.org/officeDocument/2006/relationships/image" Target="media/image1571.png"/><Relationship Id="rId1582" Type="http://schemas.openxmlformats.org/officeDocument/2006/relationships/image" Target="media/image1572.png"/><Relationship Id="rId1583" Type="http://schemas.openxmlformats.org/officeDocument/2006/relationships/image" Target="media/image1573.png"/><Relationship Id="rId1584" Type="http://schemas.openxmlformats.org/officeDocument/2006/relationships/image" Target="media/image1574.png"/><Relationship Id="rId1585" Type="http://schemas.openxmlformats.org/officeDocument/2006/relationships/image" Target="media/image1575.png"/><Relationship Id="rId1586" Type="http://schemas.openxmlformats.org/officeDocument/2006/relationships/image" Target="media/image1576.png"/><Relationship Id="rId1587" Type="http://schemas.openxmlformats.org/officeDocument/2006/relationships/image" Target="media/image1577.png"/><Relationship Id="rId1588" Type="http://schemas.openxmlformats.org/officeDocument/2006/relationships/image" Target="media/image1578.png"/><Relationship Id="rId1589" Type="http://schemas.openxmlformats.org/officeDocument/2006/relationships/image" Target="media/image1579.png"/><Relationship Id="rId1590" Type="http://schemas.openxmlformats.org/officeDocument/2006/relationships/image" Target="media/image1580.png"/><Relationship Id="rId1591" Type="http://schemas.openxmlformats.org/officeDocument/2006/relationships/image" Target="media/image1581.png"/><Relationship Id="rId1592" Type="http://schemas.openxmlformats.org/officeDocument/2006/relationships/image" Target="media/image1582.png"/><Relationship Id="rId1593" Type="http://schemas.openxmlformats.org/officeDocument/2006/relationships/image" Target="media/image1583.png"/><Relationship Id="rId1594" Type="http://schemas.openxmlformats.org/officeDocument/2006/relationships/image" Target="media/image1584.png"/><Relationship Id="rId1595" Type="http://schemas.openxmlformats.org/officeDocument/2006/relationships/image" Target="media/image1585.png"/><Relationship Id="rId1596" Type="http://schemas.openxmlformats.org/officeDocument/2006/relationships/image" Target="media/image1586.png"/><Relationship Id="rId1597" Type="http://schemas.openxmlformats.org/officeDocument/2006/relationships/image" Target="media/image1587.png"/><Relationship Id="rId1598" Type="http://schemas.openxmlformats.org/officeDocument/2006/relationships/image" Target="media/image1588.png"/><Relationship Id="rId1599" Type="http://schemas.openxmlformats.org/officeDocument/2006/relationships/image" Target="media/image1589.png"/><Relationship Id="rId1600" Type="http://schemas.openxmlformats.org/officeDocument/2006/relationships/image" Target="media/image1590.png"/><Relationship Id="rId1601" Type="http://schemas.openxmlformats.org/officeDocument/2006/relationships/image" Target="media/image1591.png"/><Relationship Id="rId1602" Type="http://schemas.openxmlformats.org/officeDocument/2006/relationships/image" Target="media/image1592.png"/><Relationship Id="rId1603" Type="http://schemas.openxmlformats.org/officeDocument/2006/relationships/image" Target="media/image1593.png"/><Relationship Id="rId1604" Type="http://schemas.openxmlformats.org/officeDocument/2006/relationships/image" Target="media/image1594.png"/><Relationship Id="rId1605" Type="http://schemas.openxmlformats.org/officeDocument/2006/relationships/image" Target="media/image1595.png"/><Relationship Id="rId1606" Type="http://schemas.openxmlformats.org/officeDocument/2006/relationships/image" Target="media/image1596.png"/><Relationship Id="rId1607" Type="http://schemas.openxmlformats.org/officeDocument/2006/relationships/image" Target="media/image1597.png"/><Relationship Id="rId1608" Type="http://schemas.openxmlformats.org/officeDocument/2006/relationships/image" Target="media/image1598.png"/><Relationship Id="rId1609" Type="http://schemas.openxmlformats.org/officeDocument/2006/relationships/image" Target="media/image1599.png"/><Relationship Id="rId1610" Type="http://schemas.openxmlformats.org/officeDocument/2006/relationships/image" Target="media/image1600.png"/><Relationship Id="rId1611" Type="http://schemas.openxmlformats.org/officeDocument/2006/relationships/image" Target="media/image1601.png"/><Relationship Id="rId1612" Type="http://schemas.openxmlformats.org/officeDocument/2006/relationships/image" Target="media/image1602.png"/><Relationship Id="rId1613" Type="http://schemas.openxmlformats.org/officeDocument/2006/relationships/image" Target="media/image1603.png"/><Relationship Id="rId1614" Type="http://schemas.openxmlformats.org/officeDocument/2006/relationships/image" Target="media/image1604.png"/><Relationship Id="rId1615" Type="http://schemas.openxmlformats.org/officeDocument/2006/relationships/image" Target="media/image1605.png"/><Relationship Id="rId1616" Type="http://schemas.openxmlformats.org/officeDocument/2006/relationships/image" Target="media/image1606.png"/><Relationship Id="rId1617" Type="http://schemas.openxmlformats.org/officeDocument/2006/relationships/image" Target="media/image1607.png"/><Relationship Id="rId1618" Type="http://schemas.openxmlformats.org/officeDocument/2006/relationships/image" Target="media/image1608.png"/><Relationship Id="rId1619" Type="http://schemas.openxmlformats.org/officeDocument/2006/relationships/image" Target="media/image1609.png"/><Relationship Id="rId1620" Type="http://schemas.openxmlformats.org/officeDocument/2006/relationships/image" Target="media/image1610.png"/><Relationship Id="rId1621" Type="http://schemas.openxmlformats.org/officeDocument/2006/relationships/image" Target="media/image1611.png"/><Relationship Id="rId1622" Type="http://schemas.openxmlformats.org/officeDocument/2006/relationships/image" Target="media/image1612.png"/><Relationship Id="rId1623" Type="http://schemas.openxmlformats.org/officeDocument/2006/relationships/image" Target="media/image1613.png"/><Relationship Id="rId1624" Type="http://schemas.openxmlformats.org/officeDocument/2006/relationships/image" Target="media/image1614.png"/><Relationship Id="rId1625" Type="http://schemas.openxmlformats.org/officeDocument/2006/relationships/image" Target="media/image1615.png"/><Relationship Id="rId1626" Type="http://schemas.openxmlformats.org/officeDocument/2006/relationships/image" Target="media/image1616.png"/><Relationship Id="rId1627" Type="http://schemas.openxmlformats.org/officeDocument/2006/relationships/image" Target="media/image1617.png"/><Relationship Id="rId1628" Type="http://schemas.openxmlformats.org/officeDocument/2006/relationships/image" Target="media/image1618.png"/><Relationship Id="rId1629" Type="http://schemas.openxmlformats.org/officeDocument/2006/relationships/image" Target="media/image1619.png"/><Relationship Id="rId1630" Type="http://schemas.openxmlformats.org/officeDocument/2006/relationships/image" Target="media/image1620.png"/><Relationship Id="rId1631" Type="http://schemas.openxmlformats.org/officeDocument/2006/relationships/image" Target="media/image1621.png"/><Relationship Id="rId1632" Type="http://schemas.openxmlformats.org/officeDocument/2006/relationships/image" Target="media/image1622.png"/><Relationship Id="rId1633" Type="http://schemas.openxmlformats.org/officeDocument/2006/relationships/image" Target="media/image1623.png"/><Relationship Id="rId1634" Type="http://schemas.openxmlformats.org/officeDocument/2006/relationships/image" Target="media/image1624.png"/><Relationship Id="rId1635" Type="http://schemas.openxmlformats.org/officeDocument/2006/relationships/image" Target="media/image1625.png"/><Relationship Id="rId1636" Type="http://schemas.openxmlformats.org/officeDocument/2006/relationships/image" Target="media/image1626.png"/><Relationship Id="rId1637" Type="http://schemas.openxmlformats.org/officeDocument/2006/relationships/image" Target="media/image1627.png"/><Relationship Id="rId1638" Type="http://schemas.openxmlformats.org/officeDocument/2006/relationships/image" Target="media/image1628.png"/><Relationship Id="rId1639" Type="http://schemas.openxmlformats.org/officeDocument/2006/relationships/image" Target="media/image1629.png"/><Relationship Id="rId1640" Type="http://schemas.openxmlformats.org/officeDocument/2006/relationships/image" Target="media/image1630.png"/><Relationship Id="rId1641" Type="http://schemas.openxmlformats.org/officeDocument/2006/relationships/image" Target="media/image1631.png"/><Relationship Id="rId1642" Type="http://schemas.openxmlformats.org/officeDocument/2006/relationships/image" Target="media/image1632.png"/><Relationship Id="rId1643" Type="http://schemas.openxmlformats.org/officeDocument/2006/relationships/image" Target="media/image1633.png"/><Relationship Id="rId1644" Type="http://schemas.openxmlformats.org/officeDocument/2006/relationships/image" Target="media/image1634.png"/><Relationship Id="rId1645" Type="http://schemas.openxmlformats.org/officeDocument/2006/relationships/image" Target="media/image1635.png"/><Relationship Id="rId1646" Type="http://schemas.openxmlformats.org/officeDocument/2006/relationships/image" Target="media/image1636.png"/><Relationship Id="rId1647" Type="http://schemas.openxmlformats.org/officeDocument/2006/relationships/image" Target="media/image1637.png"/><Relationship Id="rId1648" Type="http://schemas.openxmlformats.org/officeDocument/2006/relationships/image" Target="media/image1638.png"/><Relationship Id="rId1649" Type="http://schemas.openxmlformats.org/officeDocument/2006/relationships/image" Target="media/image1639.png"/><Relationship Id="rId1650" Type="http://schemas.openxmlformats.org/officeDocument/2006/relationships/image" Target="media/image1640.png"/><Relationship Id="rId1651" Type="http://schemas.openxmlformats.org/officeDocument/2006/relationships/image" Target="media/image1641.png"/><Relationship Id="rId1652" Type="http://schemas.openxmlformats.org/officeDocument/2006/relationships/image" Target="media/image1642.png"/><Relationship Id="rId1653" Type="http://schemas.openxmlformats.org/officeDocument/2006/relationships/image" Target="media/image1643.png"/><Relationship Id="rId1654" Type="http://schemas.openxmlformats.org/officeDocument/2006/relationships/image" Target="media/image1644.png"/><Relationship Id="rId1655" Type="http://schemas.openxmlformats.org/officeDocument/2006/relationships/image" Target="media/image1645.png"/><Relationship Id="rId1656" Type="http://schemas.openxmlformats.org/officeDocument/2006/relationships/image" Target="media/image1646.png"/><Relationship Id="rId1657" Type="http://schemas.openxmlformats.org/officeDocument/2006/relationships/image" Target="media/image1647.png"/><Relationship Id="rId1658" Type="http://schemas.openxmlformats.org/officeDocument/2006/relationships/image" Target="media/image1648.png"/><Relationship Id="rId1659" Type="http://schemas.openxmlformats.org/officeDocument/2006/relationships/image" Target="media/image1649.png"/><Relationship Id="rId1660" Type="http://schemas.openxmlformats.org/officeDocument/2006/relationships/image" Target="media/image1650.png"/><Relationship Id="rId1661" Type="http://schemas.openxmlformats.org/officeDocument/2006/relationships/image" Target="media/image1651.png"/><Relationship Id="rId1662" Type="http://schemas.openxmlformats.org/officeDocument/2006/relationships/image" Target="media/image1652.png"/><Relationship Id="rId1663" Type="http://schemas.openxmlformats.org/officeDocument/2006/relationships/image" Target="media/image1653.png"/><Relationship Id="rId1664" Type="http://schemas.openxmlformats.org/officeDocument/2006/relationships/image" Target="media/image1654.png"/><Relationship Id="rId1665" Type="http://schemas.openxmlformats.org/officeDocument/2006/relationships/image" Target="media/image1655.png"/><Relationship Id="rId1666" Type="http://schemas.openxmlformats.org/officeDocument/2006/relationships/image" Target="media/image1656.png"/><Relationship Id="rId1667" Type="http://schemas.openxmlformats.org/officeDocument/2006/relationships/image" Target="media/image1657.png"/><Relationship Id="rId1668" Type="http://schemas.openxmlformats.org/officeDocument/2006/relationships/image" Target="media/image1658.png"/><Relationship Id="rId1669" Type="http://schemas.openxmlformats.org/officeDocument/2006/relationships/image" Target="media/image1659.png"/><Relationship Id="rId1670" Type="http://schemas.openxmlformats.org/officeDocument/2006/relationships/image" Target="media/image1660.png"/><Relationship Id="rId1671" Type="http://schemas.openxmlformats.org/officeDocument/2006/relationships/image" Target="media/image1661.png"/><Relationship Id="rId1672" Type="http://schemas.openxmlformats.org/officeDocument/2006/relationships/image" Target="media/image1662.png"/><Relationship Id="rId1673" Type="http://schemas.openxmlformats.org/officeDocument/2006/relationships/image" Target="media/image1663.png"/><Relationship Id="rId1674" Type="http://schemas.openxmlformats.org/officeDocument/2006/relationships/image" Target="media/image1664.png"/><Relationship Id="rId1675" Type="http://schemas.openxmlformats.org/officeDocument/2006/relationships/image" Target="media/image1665.png"/><Relationship Id="rId1676" Type="http://schemas.openxmlformats.org/officeDocument/2006/relationships/image" Target="media/image1666.png"/><Relationship Id="rId1677" Type="http://schemas.openxmlformats.org/officeDocument/2006/relationships/image" Target="media/image1667.png"/><Relationship Id="rId1678" Type="http://schemas.openxmlformats.org/officeDocument/2006/relationships/image" Target="media/image1668.png"/><Relationship Id="rId1679" Type="http://schemas.openxmlformats.org/officeDocument/2006/relationships/image" Target="media/image1669.png"/><Relationship Id="rId1680" Type="http://schemas.openxmlformats.org/officeDocument/2006/relationships/image" Target="media/image1670.png"/><Relationship Id="rId1681" Type="http://schemas.openxmlformats.org/officeDocument/2006/relationships/image" Target="media/image1671.png"/><Relationship Id="rId1682" Type="http://schemas.openxmlformats.org/officeDocument/2006/relationships/image" Target="media/image1672.png"/><Relationship Id="rId1683" Type="http://schemas.openxmlformats.org/officeDocument/2006/relationships/image" Target="media/image1673.png"/><Relationship Id="rId1684" Type="http://schemas.openxmlformats.org/officeDocument/2006/relationships/image" Target="media/image1674.png"/><Relationship Id="rId1685" Type="http://schemas.openxmlformats.org/officeDocument/2006/relationships/image" Target="media/image1675.png"/><Relationship Id="rId1686" Type="http://schemas.openxmlformats.org/officeDocument/2006/relationships/image" Target="media/image1676.png"/><Relationship Id="rId1687" Type="http://schemas.openxmlformats.org/officeDocument/2006/relationships/image" Target="media/image1677.png"/><Relationship Id="rId1688" Type="http://schemas.openxmlformats.org/officeDocument/2006/relationships/image" Target="media/image1678.png"/><Relationship Id="rId1689" Type="http://schemas.openxmlformats.org/officeDocument/2006/relationships/image" Target="media/image1679.png"/><Relationship Id="rId1690" Type="http://schemas.openxmlformats.org/officeDocument/2006/relationships/image" Target="media/image1680.png"/><Relationship Id="rId1691" Type="http://schemas.openxmlformats.org/officeDocument/2006/relationships/image" Target="media/image1681.png"/><Relationship Id="rId1692" Type="http://schemas.openxmlformats.org/officeDocument/2006/relationships/image" Target="media/image1682.png"/><Relationship Id="rId1693" Type="http://schemas.openxmlformats.org/officeDocument/2006/relationships/image" Target="media/image1683.png"/><Relationship Id="rId1694" Type="http://schemas.openxmlformats.org/officeDocument/2006/relationships/image" Target="media/image1684.png"/><Relationship Id="rId1695" Type="http://schemas.openxmlformats.org/officeDocument/2006/relationships/image" Target="media/image1685.png"/><Relationship Id="rId1696" Type="http://schemas.openxmlformats.org/officeDocument/2006/relationships/image" Target="media/image1686.png"/><Relationship Id="rId1697" Type="http://schemas.openxmlformats.org/officeDocument/2006/relationships/image" Target="media/image1687.png"/><Relationship Id="rId1698" Type="http://schemas.openxmlformats.org/officeDocument/2006/relationships/image" Target="media/image1688.png"/><Relationship Id="rId1699" Type="http://schemas.openxmlformats.org/officeDocument/2006/relationships/image" Target="media/image1689.png"/><Relationship Id="rId1700" Type="http://schemas.openxmlformats.org/officeDocument/2006/relationships/image" Target="media/image1690.png"/><Relationship Id="rId1701" Type="http://schemas.openxmlformats.org/officeDocument/2006/relationships/image" Target="media/image1691.png"/><Relationship Id="rId1702" Type="http://schemas.openxmlformats.org/officeDocument/2006/relationships/image" Target="media/image1692.png"/><Relationship Id="rId1703" Type="http://schemas.openxmlformats.org/officeDocument/2006/relationships/image" Target="media/image1693.png"/><Relationship Id="rId1704" Type="http://schemas.openxmlformats.org/officeDocument/2006/relationships/image" Target="media/image1694.png"/><Relationship Id="rId1705" Type="http://schemas.openxmlformats.org/officeDocument/2006/relationships/image" Target="media/image1695.png"/><Relationship Id="rId1706" Type="http://schemas.openxmlformats.org/officeDocument/2006/relationships/image" Target="media/image1696.png"/><Relationship Id="rId1707" Type="http://schemas.openxmlformats.org/officeDocument/2006/relationships/image" Target="media/image1697.png"/><Relationship Id="rId1708" Type="http://schemas.openxmlformats.org/officeDocument/2006/relationships/image" Target="media/image1698.png"/><Relationship Id="rId1709" Type="http://schemas.openxmlformats.org/officeDocument/2006/relationships/image" Target="media/image1699.png"/><Relationship Id="rId1710" Type="http://schemas.openxmlformats.org/officeDocument/2006/relationships/image" Target="media/image1700.png"/><Relationship Id="rId1711" Type="http://schemas.openxmlformats.org/officeDocument/2006/relationships/image" Target="media/image1701.png"/><Relationship Id="rId1712" Type="http://schemas.openxmlformats.org/officeDocument/2006/relationships/image" Target="media/image1702.png"/><Relationship Id="rId1713" Type="http://schemas.openxmlformats.org/officeDocument/2006/relationships/image" Target="media/image1703.png"/><Relationship Id="rId1714" Type="http://schemas.openxmlformats.org/officeDocument/2006/relationships/image" Target="media/image1704.png"/><Relationship Id="rId1715" Type="http://schemas.openxmlformats.org/officeDocument/2006/relationships/image" Target="media/image1705.png"/><Relationship Id="rId1716" Type="http://schemas.openxmlformats.org/officeDocument/2006/relationships/image" Target="media/image1706.png"/><Relationship Id="rId1717" Type="http://schemas.openxmlformats.org/officeDocument/2006/relationships/image" Target="media/image1707.png"/><Relationship Id="rId1718" Type="http://schemas.openxmlformats.org/officeDocument/2006/relationships/image" Target="media/image1708.png"/><Relationship Id="rId1719" Type="http://schemas.openxmlformats.org/officeDocument/2006/relationships/image" Target="media/image1709.png"/><Relationship Id="rId1720" Type="http://schemas.openxmlformats.org/officeDocument/2006/relationships/image" Target="media/image1710.png"/><Relationship Id="rId1721" Type="http://schemas.openxmlformats.org/officeDocument/2006/relationships/image" Target="media/image1711.png"/><Relationship Id="rId1722" Type="http://schemas.openxmlformats.org/officeDocument/2006/relationships/image" Target="media/image1712.png"/><Relationship Id="rId1723" Type="http://schemas.openxmlformats.org/officeDocument/2006/relationships/image" Target="media/image1713.png"/><Relationship Id="rId1724" Type="http://schemas.openxmlformats.org/officeDocument/2006/relationships/image" Target="media/image1714.png"/><Relationship Id="rId1725" Type="http://schemas.openxmlformats.org/officeDocument/2006/relationships/image" Target="media/image1715.png"/><Relationship Id="rId1726" Type="http://schemas.openxmlformats.org/officeDocument/2006/relationships/image" Target="media/image1716.png"/><Relationship Id="rId1727" Type="http://schemas.openxmlformats.org/officeDocument/2006/relationships/image" Target="media/image1717.png"/><Relationship Id="rId1728" Type="http://schemas.openxmlformats.org/officeDocument/2006/relationships/image" Target="media/image1718.png"/><Relationship Id="rId1729" Type="http://schemas.openxmlformats.org/officeDocument/2006/relationships/image" Target="media/image1719.png"/><Relationship Id="rId1730" Type="http://schemas.openxmlformats.org/officeDocument/2006/relationships/image" Target="media/image1720.png"/><Relationship Id="rId1731" Type="http://schemas.openxmlformats.org/officeDocument/2006/relationships/image" Target="media/image1721.png"/><Relationship Id="rId1732" Type="http://schemas.openxmlformats.org/officeDocument/2006/relationships/image" Target="media/image1722.png"/><Relationship Id="rId1733" Type="http://schemas.openxmlformats.org/officeDocument/2006/relationships/image" Target="media/image1723.png"/><Relationship Id="rId1734" Type="http://schemas.openxmlformats.org/officeDocument/2006/relationships/image" Target="media/image1724.png"/><Relationship Id="rId1735" Type="http://schemas.openxmlformats.org/officeDocument/2006/relationships/image" Target="media/image1725.png"/><Relationship Id="rId1736" Type="http://schemas.openxmlformats.org/officeDocument/2006/relationships/image" Target="media/image1726.png"/><Relationship Id="rId1737" Type="http://schemas.openxmlformats.org/officeDocument/2006/relationships/image" Target="media/image1727.png"/><Relationship Id="rId1738" Type="http://schemas.openxmlformats.org/officeDocument/2006/relationships/image" Target="media/image1728.png"/><Relationship Id="rId1739" Type="http://schemas.openxmlformats.org/officeDocument/2006/relationships/image" Target="media/image1729.png"/><Relationship Id="rId1740" Type="http://schemas.openxmlformats.org/officeDocument/2006/relationships/image" Target="media/image1730.png"/><Relationship Id="rId1741" Type="http://schemas.openxmlformats.org/officeDocument/2006/relationships/image" Target="media/image1731.png"/><Relationship Id="rId1742" Type="http://schemas.openxmlformats.org/officeDocument/2006/relationships/image" Target="media/image1732.png"/><Relationship Id="rId1743" Type="http://schemas.openxmlformats.org/officeDocument/2006/relationships/image" Target="media/image1733.png"/><Relationship Id="rId1744" Type="http://schemas.openxmlformats.org/officeDocument/2006/relationships/image" Target="media/image1734.png"/><Relationship Id="rId1745" Type="http://schemas.openxmlformats.org/officeDocument/2006/relationships/image" Target="media/image1735.png"/><Relationship Id="rId1746" Type="http://schemas.openxmlformats.org/officeDocument/2006/relationships/image" Target="media/image1736.png"/><Relationship Id="rId1747" Type="http://schemas.openxmlformats.org/officeDocument/2006/relationships/image" Target="media/image1737.png"/><Relationship Id="rId1748" Type="http://schemas.openxmlformats.org/officeDocument/2006/relationships/image" Target="media/image1738.png"/><Relationship Id="rId1749" Type="http://schemas.openxmlformats.org/officeDocument/2006/relationships/image" Target="media/image1739.png"/><Relationship Id="rId1750" Type="http://schemas.openxmlformats.org/officeDocument/2006/relationships/image" Target="media/image1740.png"/><Relationship Id="rId1751" Type="http://schemas.openxmlformats.org/officeDocument/2006/relationships/image" Target="media/image1741.png"/><Relationship Id="rId1752" Type="http://schemas.openxmlformats.org/officeDocument/2006/relationships/image" Target="media/image1742.png"/><Relationship Id="rId1753" Type="http://schemas.openxmlformats.org/officeDocument/2006/relationships/image" Target="media/image1743.png"/><Relationship Id="rId1754" Type="http://schemas.openxmlformats.org/officeDocument/2006/relationships/image" Target="media/image1744.png"/><Relationship Id="rId1755" Type="http://schemas.openxmlformats.org/officeDocument/2006/relationships/image" Target="media/image1745.png"/><Relationship Id="rId1756" Type="http://schemas.openxmlformats.org/officeDocument/2006/relationships/image" Target="media/image1746.png"/><Relationship Id="rId1757" Type="http://schemas.openxmlformats.org/officeDocument/2006/relationships/image" Target="media/image1747.png"/><Relationship Id="rId1758" Type="http://schemas.openxmlformats.org/officeDocument/2006/relationships/image" Target="media/image1748.png"/><Relationship Id="rId1759" Type="http://schemas.openxmlformats.org/officeDocument/2006/relationships/image" Target="media/image1749.png"/><Relationship Id="rId1760" Type="http://schemas.openxmlformats.org/officeDocument/2006/relationships/image" Target="media/image1750.png"/><Relationship Id="rId1761" Type="http://schemas.openxmlformats.org/officeDocument/2006/relationships/image" Target="media/image1751.png"/><Relationship Id="rId1762" Type="http://schemas.openxmlformats.org/officeDocument/2006/relationships/image" Target="media/image1752.png"/><Relationship Id="rId1763" Type="http://schemas.openxmlformats.org/officeDocument/2006/relationships/image" Target="media/image1753.png"/><Relationship Id="rId1764" Type="http://schemas.openxmlformats.org/officeDocument/2006/relationships/image" Target="media/image1754.png"/><Relationship Id="rId1765" Type="http://schemas.openxmlformats.org/officeDocument/2006/relationships/image" Target="media/image1755.png"/><Relationship Id="rId1766" Type="http://schemas.openxmlformats.org/officeDocument/2006/relationships/image" Target="media/image1756.png"/><Relationship Id="rId1767" Type="http://schemas.openxmlformats.org/officeDocument/2006/relationships/image" Target="media/image1757.png"/><Relationship Id="rId1768" Type="http://schemas.openxmlformats.org/officeDocument/2006/relationships/image" Target="media/image1758.png"/><Relationship Id="rId1769" Type="http://schemas.openxmlformats.org/officeDocument/2006/relationships/image" Target="media/image1759.png"/><Relationship Id="rId1770" Type="http://schemas.openxmlformats.org/officeDocument/2006/relationships/image" Target="media/image1760.png"/><Relationship Id="rId1771" Type="http://schemas.openxmlformats.org/officeDocument/2006/relationships/image" Target="media/image1761.png"/><Relationship Id="rId1772" Type="http://schemas.openxmlformats.org/officeDocument/2006/relationships/image" Target="media/image1762.png"/><Relationship Id="rId1773" Type="http://schemas.openxmlformats.org/officeDocument/2006/relationships/image" Target="media/image1763.png"/><Relationship Id="rId1774" Type="http://schemas.openxmlformats.org/officeDocument/2006/relationships/image" Target="media/image1764.png"/><Relationship Id="rId1775" Type="http://schemas.openxmlformats.org/officeDocument/2006/relationships/image" Target="media/image1765.png"/><Relationship Id="rId1776" Type="http://schemas.openxmlformats.org/officeDocument/2006/relationships/image" Target="media/image1766.png"/><Relationship Id="rId1777" Type="http://schemas.openxmlformats.org/officeDocument/2006/relationships/image" Target="media/image1767.png"/><Relationship Id="rId1778" Type="http://schemas.openxmlformats.org/officeDocument/2006/relationships/image" Target="media/image1768.png"/><Relationship Id="rId1779" Type="http://schemas.openxmlformats.org/officeDocument/2006/relationships/image" Target="media/image1769.png"/><Relationship Id="rId1780" Type="http://schemas.openxmlformats.org/officeDocument/2006/relationships/image" Target="media/image1770.png"/><Relationship Id="rId1781" Type="http://schemas.openxmlformats.org/officeDocument/2006/relationships/image" Target="media/image1771.png"/><Relationship Id="rId1782" Type="http://schemas.openxmlformats.org/officeDocument/2006/relationships/image" Target="media/image1772.png"/><Relationship Id="rId1783" Type="http://schemas.openxmlformats.org/officeDocument/2006/relationships/image" Target="media/image1773.png"/><Relationship Id="rId1784" Type="http://schemas.openxmlformats.org/officeDocument/2006/relationships/image" Target="media/image1774.png"/><Relationship Id="rId1785" Type="http://schemas.openxmlformats.org/officeDocument/2006/relationships/image" Target="media/image1775.png"/><Relationship Id="rId1786" Type="http://schemas.openxmlformats.org/officeDocument/2006/relationships/image" Target="media/image1776.png"/><Relationship Id="rId1787" Type="http://schemas.openxmlformats.org/officeDocument/2006/relationships/image" Target="media/image1777.png"/><Relationship Id="rId1788" Type="http://schemas.openxmlformats.org/officeDocument/2006/relationships/image" Target="media/image1778.png"/><Relationship Id="rId1789" Type="http://schemas.openxmlformats.org/officeDocument/2006/relationships/image" Target="media/image1779.png"/><Relationship Id="rId1790" Type="http://schemas.openxmlformats.org/officeDocument/2006/relationships/image" Target="media/image1780.png"/><Relationship Id="rId1791" Type="http://schemas.openxmlformats.org/officeDocument/2006/relationships/image" Target="media/image1781.png"/><Relationship Id="rId1792" Type="http://schemas.openxmlformats.org/officeDocument/2006/relationships/image" Target="media/image1782.png"/><Relationship Id="rId1793" Type="http://schemas.openxmlformats.org/officeDocument/2006/relationships/image" Target="media/image1783.png"/><Relationship Id="rId1794" Type="http://schemas.openxmlformats.org/officeDocument/2006/relationships/image" Target="media/image1784.png"/><Relationship Id="rId1795" Type="http://schemas.openxmlformats.org/officeDocument/2006/relationships/image" Target="media/image1785.png"/><Relationship Id="rId1796" Type="http://schemas.openxmlformats.org/officeDocument/2006/relationships/image" Target="media/image1786.png"/><Relationship Id="rId1797" Type="http://schemas.openxmlformats.org/officeDocument/2006/relationships/image" Target="media/image1787.png"/><Relationship Id="rId1798" Type="http://schemas.openxmlformats.org/officeDocument/2006/relationships/image" Target="media/image1788.png"/><Relationship Id="rId1799" Type="http://schemas.openxmlformats.org/officeDocument/2006/relationships/image" Target="media/image1789.png"/><Relationship Id="rId1800" Type="http://schemas.openxmlformats.org/officeDocument/2006/relationships/image" Target="media/image1790.png"/><Relationship Id="rId1801" Type="http://schemas.openxmlformats.org/officeDocument/2006/relationships/image" Target="media/image1791.png"/><Relationship Id="rId1802" Type="http://schemas.openxmlformats.org/officeDocument/2006/relationships/image" Target="media/image1792.png"/><Relationship Id="rId1803" Type="http://schemas.openxmlformats.org/officeDocument/2006/relationships/image" Target="media/image1793.png"/><Relationship Id="rId1804" Type="http://schemas.openxmlformats.org/officeDocument/2006/relationships/image" Target="media/image1794.png"/><Relationship Id="rId1805" Type="http://schemas.openxmlformats.org/officeDocument/2006/relationships/image" Target="media/image1795.png"/><Relationship Id="rId1806" Type="http://schemas.openxmlformats.org/officeDocument/2006/relationships/image" Target="media/image1796.png"/><Relationship Id="rId1807" Type="http://schemas.openxmlformats.org/officeDocument/2006/relationships/image" Target="media/image1797.png"/><Relationship Id="rId1808" Type="http://schemas.openxmlformats.org/officeDocument/2006/relationships/image" Target="media/image1798.png"/><Relationship Id="rId1809" Type="http://schemas.openxmlformats.org/officeDocument/2006/relationships/image" Target="media/image1799.png"/><Relationship Id="rId1810" Type="http://schemas.openxmlformats.org/officeDocument/2006/relationships/image" Target="media/image1800.png"/><Relationship Id="rId1811" Type="http://schemas.openxmlformats.org/officeDocument/2006/relationships/image" Target="media/image1801.png"/><Relationship Id="rId1812" Type="http://schemas.openxmlformats.org/officeDocument/2006/relationships/image" Target="media/image1802.png"/><Relationship Id="rId1813" Type="http://schemas.openxmlformats.org/officeDocument/2006/relationships/image" Target="media/image1803.png"/><Relationship Id="rId1814" Type="http://schemas.openxmlformats.org/officeDocument/2006/relationships/image" Target="media/image1804.png"/><Relationship Id="rId1815" Type="http://schemas.openxmlformats.org/officeDocument/2006/relationships/image" Target="media/image1805.png"/><Relationship Id="rId1816" Type="http://schemas.openxmlformats.org/officeDocument/2006/relationships/image" Target="media/image1806.png"/><Relationship Id="rId1817" Type="http://schemas.openxmlformats.org/officeDocument/2006/relationships/image" Target="media/image1807.png"/><Relationship Id="rId1818" Type="http://schemas.openxmlformats.org/officeDocument/2006/relationships/image" Target="media/image1808.png"/><Relationship Id="rId1819" Type="http://schemas.openxmlformats.org/officeDocument/2006/relationships/image" Target="media/image1809.png"/><Relationship Id="rId1820" Type="http://schemas.openxmlformats.org/officeDocument/2006/relationships/image" Target="media/image1810.png"/><Relationship Id="rId1821" Type="http://schemas.openxmlformats.org/officeDocument/2006/relationships/image" Target="media/image1811.png"/><Relationship Id="rId1822" Type="http://schemas.openxmlformats.org/officeDocument/2006/relationships/image" Target="media/image1812.png"/><Relationship Id="rId1823" Type="http://schemas.openxmlformats.org/officeDocument/2006/relationships/image" Target="media/image1813.png"/><Relationship Id="rId1824" Type="http://schemas.openxmlformats.org/officeDocument/2006/relationships/image" Target="media/image1814.png"/><Relationship Id="rId1825" Type="http://schemas.openxmlformats.org/officeDocument/2006/relationships/image" Target="media/image1815.png"/><Relationship Id="rId1826" Type="http://schemas.openxmlformats.org/officeDocument/2006/relationships/image" Target="media/image1816.png"/><Relationship Id="rId1827" Type="http://schemas.openxmlformats.org/officeDocument/2006/relationships/image" Target="media/image1817.png"/><Relationship Id="rId1828" Type="http://schemas.openxmlformats.org/officeDocument/2006/relationships/image" Target="media/image1818.png"/><Relationship Id="rId1829" Type="http://schemas.openxmlformats.org/officeDocument/2006/relationships/image" Target="media/image1819.png"/><Relationship Id="rId1830" Type="http://schemas.openxmlformats.org/officeDocument/2006/relationships/image" Target="media/image1820.png"/><Relationship Id="rId1831" Type="http://schemas.openxmlformats.org/officeDocument/2006/relationships/image" Target="media/image1821.png"/><Relationship Id="rId1832" Type="http://schemas.openxmlformats.org/officeDocument/2006/relationships/image" Target="media/image1822.png"/><Relationship Id="rId1833" Type="http://schemas.openxmlformats.org/officeDocument/2006/relationships/image" Target="media/image1823.png"/><Relationship Id="rId1834" Type="http://schemas.openxmlformats.org/officeDocument/2006/relationships/image" Target="media/image1824.png"/><Relationship Id="rId1835" Type="http://schemas.openxmlformats.org/officeDocument/2006/relationships/image" Target="media/image1825.png"/><Relationship Id="rId1836" Type="http://schemas.openxmlformats.org/officeDocument/2006/relationships/image" Target="media/image1826.png"/><Relationship Id="rId1837" Type="http://schemas.openxmlformats.org/officeDocument/2006/relationships/image" Target="media/image1827.png"/><Relationship Id="rId1838" Type="http://schemas.openxmlformats.org/officeDocument/2006/relationships/image" Target="media/image1828.png"/><Relationship Id="rId1839" Type="http://schemas.openxmlformats.org/officeDocument/2006/relationships/image" Target="media/image1829.png"/><Relationship Id="rId1840" Type="http://schemas.openxmlformats.org/officeDocument/2006/relationships/image" Target="media/image1830.png"/><Relationship Id="rId1841" Type="http://schemas.openxmlformats.org/officeDocument/2006/relationships/image" Target="media/image1831.png"/><Relationship Id="rId1842" Type="http://schemas.openxmlformats.org/officeDocument/2006/relationships/image" Target="media/image1832.png"/><Relationship Id="rId1843" Type="http://schemas.openxmlformats.org/officeDocument/2006/relationships/image" Target="media/image1833.png"/><Relationship Id="rId1844" Type="http://schemas.openxmlformats.org/officeDocument/2006/relationships/image" Target="media/image1834.png"/><Relationship Id="rId1845" Type="http://schemas.openxmlformats.org/officeDocument/2006/relationships/image" Target="media/image1835.png"/><Relationship Id="rId1846" Type="http://schemas.openxmlformats.org/officeDocument/2006/relationships/image" Target="media/image1836.png"/><Relationship Id="rId1847" Type="http://schemas.openxmlformats.org/officeDocument/2006/relationships/image" Target="media/image1837.png"/><Relationship Id="rId1848" Type="http://schemas.openxmlformats.org/officeDocument/2006/relationships/image" Target="media/image1838.png"/><Relationship Id="rId1849" Type="http://schemas.openxmlformats.org/officeDocument/2006/relationships/image" Target="media/image1839.png"/><Relationship Id="rId1850" Type="http://schemas.openxmlformats.org/officeDocument/2006/relationships/image" Target="media/image1840.png"/><Relationship Id="rId1851" Type="http://schemas.openxmlformats.org/officeDocument/2006/relationships/image" Target="media/image1841.png"/><Relationship Id="rId1852" Type="http://schemas.openxmlformats.org/officeDocument/2006/relationships/image" Target="media/image1842.png"/><Relationship Id="rId1853" Type="http://schemas.openxmlformats.org/officeDocument/2006/relationships/image" Target="media/image1843.png"/><Relationship Id="rId1854" Type="http://schemas.openxmlformats.org/officeDocument/2006/relationships/image" Target="media/image1844.png"/><Relationship Id="rId1855" Type="http://schemas.openxmlformats.org/officeDocument/2006/relationships/image" Target="media/image1845.png"/><Relationship Id="rId1856" Type="http://schemas.openxmlformats.org/officeDocument/2006/relationships/image" Target="media/image1846.png"/><Relationship Id="rId1857" Type="http://schemas.openxmlformats.org/officeDocument/2006/relationships/image" Target="media/image1847.png"/><Relationship Id="rId1858" Type="http://schemas.openxmlformats.org/officeDocument/2006/relationships/image" Target="media/image1848.png"/><Relationship Id="rId1859" Type="http://schemas.openxmlformats.org/officeDocument/2006/relationships/image" Target="media/image1849.png"/><Relationship Id="rId1860" Type="http://schemas.openxmlformats.org/officeDocument/2006/relationships/image" Target="media/image1850.png"/><Relationship Id="rId1861" Type="http://schemas.openxmlformats.org/officeDocument/2006/relationships/image" Target="media/image1851.png"/><Relationship Id="rId1862" Type="http://schemas.openxmlformats.org/officeDocument/2006/relationships/image" Target="media/image1852.png"/><Relationship Id="rId1863" Type="http://schemas.openxmlformats.org/officeDocument/2006/relationships/image" Target="media/image1853.png"/><Relationship Id="rId1864" Type="http://schemas.openxmlformats.org/officeDocument/2006/relationships/image" Target="media/image1854.png"/><Relationship Id="rId1865" Type="http://schemas.openxmlformats.org/officeDocument/2006/relationships/image" Target="media/image1855.png"/><Relationship Id="rId1866" Type="http://schemas.openxmlformats.org/officeDocument/2006/relationships/image" Target="media/image1856.png"/><Relationship Id="rId1867" Type="http://schemas.openxmlformats.org/officeDocument/2006/relationships/image" Target="media/image1857.png"/><Relationship Id="rId1868" Type="http://schemas.openxmlformats.org/officeDocument/2006/relationships/image" Target="media/image1858.png"/><Relationship Id="rId1869" Type="http://schemas.openxmlformats.org/officeDocument/2006/relationships/image" Target="media/image1859.png"/><Relationship Id="rId1870" Type="http://schemas.openxmlformats.org/officeDocument/2006/relationships/image" Target="media/image1860.png"/><Relationship Id="rId1871" Type="http://schemas.openxmlformats.org/officeDocument/2006/relationships/image" Target="media/image1861.png"/><Relationship Id="rId1872" Type="http://schemas.openxmlformats.org/officeDocument/2006/relationships/image" Target="media/image1862.png"/><Relationship Id="rId1873" Type="http://schemas.openxmlformats.org/officeDocument/2006/relationships/image" Target="media/image1863.png"/><Relationship Id="rId1874" Type="http://schemas.openxmlformats.org/officeDocument/2006/relationships/image" Target="media/image1864.png"/><Relationship Id="rId1875" Type="http://schemas.openxmlformats.org/officeDocument/2006/relationships/image" Target="media/image1865.png"/><Relationship Id="rId1876" Type="http://schemas.openxmlformats.org/officeDocument/2006/relationships/image" Target="media/image1866.png"/><Relationship Id="rId1877" Type="http://schemas.openxmlformats.org/officeDocument/2006/relationships/image" Target="media/image1867.png"/><Relationship Id="rId1878" Type="http://schemas.openxmlformats.org/officeDocument/2006/relationships/image" Target="media/image1868.png"/><Relationship Id="rId1879" Type="http://schemas.openxmlformats.org/officeDocument/2006/relationships/image" Target="media/image1869.png"/><Relationship Id="rId1880" Type="http://schemas.openxmlformats.org/officeDocument/2006/relationships/image" Target="media/image1870.png"/><Relationship Id="rId1881" Type="http://schemas.openxmlformats.org/officeDocument/2006/relationships/image" Target="media/image1871.png"/><Relationship Id="rId1882" Type="http://schemas.openxmlformats.org/officeDocument/2006/relationships/image" Target="media/image1872.png"/><Relationship Id="rId1883" Type="http://schemas.openxmlformats.org/officeDocument/2006/relationships/image" Target="media/image1873.png"/><Relationship Id="rId1884" Type="http://schemas.openxmlformats.org/officeDocument/2006/relationships/image" Target="media/image1874.png"/><Relationship Id="rId1885" Type="http://schemas.openxmlformats.org/officeDocument/2006/relationships/image" Target="media/image1875.png"/><Relationship Id="rId1886" Type="http://schemas.openxmlformats.org/officeDocument/2006/relationships/image" Target="media/image1876.png"/><Relationship Id="rId1887" Type="http://schemas.openxmlformats.org/officeDocument/2006/relationships/image" Target="media/image1877.png"/><Relationship Id="rId1888" Type="http://schemas.openxmlformats.org/officeDocument/2006/relationships/image" Target="media/image1878.png"/><Relationship Id="rId1889" Type="http://schemas.openxmlformats.org/officeDocument/2006/relationships/image" Target="media/image1879.png"/><Relationship Id="rId1890" Type="http://schemas.openxmlformats.org/officeDocument/2006/relationships/image" Target="media/image1880.png"/><Relationship Id="rId1891" Type="http://schemas.openxmlformats.org/officeDocument/2006/relationships/image" Target="media/image1881.png"/><Relationship Id="rId1892" Type="http://schemas.openxmlformats.org/officeDocument/2006/relationships/image" Target="media/image1882.png"/><Relationship Id="rId1893" Type="http://schemas.openxmlformats.org/officeDocument/2006/relationships/image" Target="media/image1883.png"/><Relationship Id="rId1894" Type="http://schemas.openxmlformats.org/officeDocument/2006/relationships/image" Target="media/image1884.png"/><Relationship Id="rId1895" Type="http://schemas.openxmlformats.org/officeDocument/2006/relationships/image" Target="media/image1885.png"/><Relationship Id="rId1896" Type="http://schemas.openxmlformats.org/officeDocument/2006/relationships/image" Target="media/image1886.png"/><Relationship Id="rId1897" Type="http://schemas.openxmlformats.org/officeDocument/2006/relationships/image" Target="media/image1887.png"/><Relationship Id="rId1898" Type="http://schemas.openxmlformats.org/officeDocument/2006/relationships/image" Target="media/image1888.png"/><Relationship Id="rId1899" Type="http://schemas.openxmlformats.org/officeDocument/2006/relationships/image" Target="media/image1889.png"/><Relationship Id="rId1900" Type="http://schemas.openxmlformats.org/officeDocument/2006/relationships/image" Target="media/image1890.png"/><Relationship Id="rId1901" Type="http://schemas.openxmlformats.org/officeDocument/2006/relationships/image" Target="media/image1891.png"/><Relationship Id="rId1902" Type="http://schemas.openxmlformats.org/officeDocument/2006/relationships/image" Target="media/image1892.png"/><Relationship Id="rId1903" Type="http://schemas.openxmlformats.org/officeDocument/2006/relationships/image" Target="media/image1893.png"/><Relationship Id="rId1904" Type="http://schemas.openxmlformats.org/officeDocument/2006/relationships/image" Target="media/image1894.png"/><Relationship Id="rId1905" Type="http://schemas.openxmlformats.org/officeDocument/2006/relationships/image" Target="media/image1895.png"/><Relationship Id="rId1906" Type="http://schemas.openxmlformats.org/officeDocument/2006/relationships/image" Target="media/image1896.png"/><Relationship Id="rId1907" Type="http://schemas.openxmlformats.org/officeDocument/2006/relationships/image" Target="media/image1897.png"/><Relationship Id="rId1908" Type="http://schemas.openxmlformats.org/officeDocument/2006/relationships/image" Target="media/image1898.png"/><Relationship Id="rId1909" Type="http://schemas.openxmlformats.org/officeDocument/2006/relationships/image" Target="media/image1899.png"/><Relationship Id="rId1910" Type="http://schemas.openxmlformats.org/officeDocument/2006/relationships/image" Target="media/image1900.png"/><Relationship Id="rId1911" Type="http://schemas.openxmlformats.org/officeDocument/2006/relationships/image" Target="media/image1901.png"/><Relationship Id="rId1912" Type="http://schemas.openxmlformats.org/officeDocument/2006/relationships/image" Target="media/image1902.png"/><Relationship Id="rId1913" Type="http://schemas.openxmlformats.org/officeDocument/2006/relationships/image" Target="media/image1903.png"/><Relationship Id="rId1914" Type="http://schemas.openxmlformats.org/officeDocument/2006/relationships/image" Target="media/image1904.png"/><Relationship Id="rId1915" Type="http://schemas.openxmlformats.org/officeDocument/2006/relationships/image" Target="media/image1905.png"/><Relationship Id="rId1916" Type="http://schemas.openxmlformats.org/officeDocument/2006/relationships/image" Target="media/image1906.png"/><Relationship Id="rId1917" Type="http://schemas.openxmlformats.org/officeDocument/2006/relationships/image" Target="media/image1907.png"/><Relationship Id="rId1918" Type="http://schemas.openxmlformats.org/officeDocument/2006/relationships/image" Target="media/image1908.png"/><Relationship Id="rId1919" Type="http://schemas.openxmlformats.org/officeDocument/2006/relationships/image" Target="media/image1909.png"/><Relationship Id="rId1920" Type="http://schemas.openxmlformats.org/officeDocument/2006/relationships/image" Target="media/image1910.png"/><Relationship Id="rId1921" Type="http://schemas.openxmlformats.org/officeDocument/2006/relationships/image" Target="media/image1911.png"/><Relationship Id="rId1922" Type="http://schemas.openxmlformats.org/officeDocument/2006/relationships/image" Target="media/image1912.png"/><Relationship Id="rId1923" Type="http://schemas.openxmlformats.org/officeDocument/2006/relationships/image" Target="media/image1913.png"/><Relationship Id="rId1924" Type="http://schemas.openxmlformats.org/officeDocument/2006/relationships/image" Target="media/image1914.png"/><Relationship Id="rId1925" Type="http://schemas.openxmlformats.org/officeDocument/2006/relationships/image" Target="media/image1915.png"/><Relationship Id="rId1926" Type="http://schemas.openxmlformats.org/officeDocument/2006/relationships/image" Target="media/image1916.png"/><Relationship Id="rId1927" Type="http://schemas.openxmlformats.org/officeDocument/2006/relationships/image" Target="media/image1917.png"/><Relationship Id="rId1928" Type="http://schemas.openxmlformats.org/officeDocument/2006/relationships/image" Target="media/image1918.png"/><Relationship Id="rId1929" Type="http://schemas.openxmlformats.org/officeDocument/2006/relationships/image" Target="media/image1919.png"/><Relationship Id="rId1930" Type="http://schemas.openxmlformats.org/officeDocument/2006/relationships/image" Target="media/image1920.png"/><Relationship Id="rId1931" Type="http://schemas.openxmlformats.org/officeDocument/2006/relationships/image" Target="media/image1921.png"/><Relationship Id="rId1932" Type="http://schemas.openxmlformats.org/officeDocument/2006/relationships/image" Target="media/image1922.png"/><Relationship Id="rId1933" Type="http://schemas.openxmlformats.org/officeDocument/2006/relationships/image" Target="media/image1923.png"/><Relationship Id="rId1934" Type="http://schemas.openxmlformats.org/officeDocument/2006/relationships/image" Target="media/image1924.png"/><Relationship Id="rId1935" Type="http://schemas.openxmlformats.org/officeDocument/2006/relationships/image" Target="media/image1925.png"/><Relationship Id="rId1936" Type="http://schemas.openxmlformats.org/officeDocument/2006/relationships/image" Target="media/image1926.png"/><Relationship Id="rId1937" Type="http://schemas.openxmlformats.org/officeDocument/2006/relationships/image" Target="media/image1927.png"/><Relationship Id="rId1938" Type="http://schemas.openxmlformats.org/officeDocument/2006/relationships/image" Target="media/image1928.png"/><Relationship Id="rId1939" Type="http://schemas.openxmlformats.org/officeDocument/2006/relationships/image" Target="media/image1929.png"/><Relationship Id="rId1940" Type="http://schemas.openxmlformats.org/officeDocument/2006/relationships/image" Target="media/image1930.png"/><Relationship Id="rId1941" Type="http://schemas.openxmlformats.org/officeDocument/2006/relationships/image" Target="media/image1931.png"/><Relationship Id="rId1942" Type="http://schemas.openxmlformats.org/officeDocument/2006/relationships/image" Target="media/image1932.png"/><Relationship Id="rId1943" Type="http://schemas.openxmlformats.org/officeDocument/2006/relationships/image" Target="media/image1933.png"/><Relationship Id="rId1944" Type="http://schemas.openxmlformats.org/officeDocument/2006/relationships/image" Target="media/image1934.png"/><Relationship Id="rId1945" Type="http://schemas.openxmlformats.org/officeDocument/2006/relationships/image" Target="media/image1935.png"/><Relationship Id="rId1946" Type="http://schemas.openxmlformats.org/officeDocument/2006/relationships/image" Target="media/image1936.png"/><Relationship Id="rId1947" Type="http://schemas.openxmlformats.org/officeDocument/2006/relationships/image" Target="media/image1937.png"/><Relationship Id="rId1948" Type="http://schemas.openxmlformats.org/officeDocument/2006/relationships/image" Target="media/image1938.png"/><Relationship Id="rId1949" Type="http://schemas.openxmlformats.org/officeDocument/2006/relationships/image" Target="media/image1939.png"/><Relationship Id="rId1950" Type="http://schemas.openxmlformats.org/officeDocument/2006/relationships/image" Target="media/image1940.png"/><Relationship Id="rId1951" Type="http://schemas.openxmlformats.org/officeDocument/2006/relationships/image" Target="media/image1941.png"/><Relationship Id="rId1952" Type="http://schemas.openxmlformats.org/officeDocument/2006/relationships/image" Target="media/image1942.png"/><Relationship Id="rId1953" Type="http://schemas.openxmlformats.org/officeDocument/2006/relationships/image" Target="media/image1943.png"/><Relationship Id="rId1954" Type="http://schemas.openxmlformats.org/officeDocument/2006/relationships/image" Target="media/image1944.png"/><Relationship Id="rId1955" Type="http://schemas.openxmlformats.org/officeDocument/2006/relationships/image" Target="media/image1945.png"/><Relationship Id="rId1956" Type="http://schemas.openxmlformats.org/officeDocument/2006/relationships/image" Target="media/image1946.png"/><Relationship Id="rId1957" Type="http://schemas.openxmlformats.org/officeDocument/2006/relationships/image" Target="media/image1947.png"/><Relationship Id="rId1958" Type="http://schemas.openxmlformats.org/officeDocument/2006/relationships/image" Target="media/image1948.png"/><Relationship Id="rId1959" Type="http://schemas.openxmlformats.org/officeDocument/2006/relationships/image" Target="media/image1949.png"/><Relationship Id="rId1960" Type="http://schemas.openxmlformats.org/officeDocument/2006/relationships/image" Target="media/image1950.png"/><Relationship Id="rId1961" Type="http://schemas.openxmlformats.org/officeDocument/2006/relationships/image" Target="media/image1951.png"/><Relationship Id="rId1962" Type="http://schemas.openxmlformats.org/officeDocument/2006/relationships/image" Target="media/image1952.png"/><Relationship Id="rId1963" Type="http://schemas.openxmlformats.org/officeDocument/2006/relationships/image" Target="media/image1953.png"/><Relationship Id="rId1964" Type="http://schemas.openxmlformats.org/officeDocument/2006/relationships/image" Target="media/image1954.png"/><Relationship Id="rId1965" Type="http://schemas.openxmlformats.org/officeDocument/2006/relationships/image" Target="media/image1955.png"/><Relationship Id="rId1966" Type="http://schemas.openxmlformats.org/officeDocument/2006/relationships/image" Target="media/image1956.png"/><Relationship Id="rId1967" Type="http://schemas.openxmlformats.org/officeDocument/2006/relationships/image" Target="media/image1957.png"/><Relationship Id="rId1968" Type="http://schemas.openxmlformats.org/officeDocument/2006/relationships/image" Target="media/image1958.png"/><Relationship Id="rId1969" Type="http://schemas.openxmlformats.org/officeDocument/2006/relationships/image" Target="media/image1959.png"/><Relationship Id="rId1970" Type="http://schemas.openxmlformats.org/officeDocument/2006/relationships/image" Target="media/image1960.png"/><Relationship Id="rId1971" Type="http://schemas.openxmlformats.org/officeDocument/2006/relationships/image" Target="media/image1961.png"/><Relationship Id="rId1972" Type="http://schemas.openxmlformats.org/officeDocument/2006/relationships/image" Target="media/image1962.png"/><Relationship Id="rId1973" Type="http://schemas.openxmlformats.org/officeDocument/2006/relationships/image" Target="media/image1963.png"/><Relationship Id="rId1974" Type="http://schemas.openxmlformats.org/officeDocument/2006/relationships/image" Target="media/image1964.png"/><Relationship Id="rId1975" Type="http://schemas.openxmlformats.org/officeDocument/2006/relationships/image" Target="media/image1965.png"/><Relationship Id="rId1976" Type="http://schemas.openxmlformats.org/officeDocument/2006/relationships/image" Target="media/image1966.png"/><Relationship Id="rId1977" Type="http://schemas.openxmlformats.org/officeDocument/2006/relationships/image" Target="media/image1967.png"/><Relationship Id="rId1978" Type="http://schemas.openxmlformats.org/officeDocument/2006/relationships/image" Target="media/image1968.png"/><Relationship Id="rId1979" Type="http://schemas.openxmlformats.org/officeDocument/2006/relationships/image" Target="media/image1969.png"/><Relationship Id="rId1980" Type="http://schemas.openxmlformats.org/officeDocument/2006/relationships/image" Target="media/image1970.png"/><Relationship Id="rId1981" Type="http://schemas.openxmlformats.org/officeDocument/2006/relationships/image" Target="media/image1971.png"/><Relationship Id="rId1982" Type="http://schemas.openxmlformats.org/officeDocument/2006/relationships/image" Target="media/image1972.png"/><Relationship Id="rId1983" Type="http://schemas.openxmlformats.org/officeDocument/2006/relationships/image" Target="media/image1973.png"/><Relationship Id="rId1984" Type="http://schemas.openxmlformats.org/officeDocument/2006/relationships/image" Target="media/image1974.png"/><Relationship Id="rId1985" Type="http://schemas.openxmlformats.org/officeDocument/2006/relationships/image" Target="media/image1975.png"/><Relationship Id="rId1986" Type="http://schemas.openxmlformats.org/officeDocument/2006/relationships/image" Target="media/image1976.png"/><Relationship Id="rId1987" Type="http://schemas.openxmlformats.org/officeDocument/2006/relationships/image" Target="media/image1977.png"/><Relationship Id="rId1988" Type="http://schemas.openxmlformats.org/officeDocument/2006/relationships/image" Target="media/image1978.png"/><Relationship Id="rId1989" Type="http://schemas.openxmlformats.org/officeDocument/2006/relationships/image" Target="media/image1979.png"/><Relationship Id="rId1990" Type="http://schemas.openxmlformats.org/officeDocument/2006/relationships/image" Target="media/image1980.png"/><Relationship Id="rId1991" Type="http://schemas.openxmlformats.org/officeDocument/2006/relationships/image" Target="media/image1981.png"/><Relationship Id="rId1992" Type="http://schemas.openxmlformats.org/officeDocument/2006/relationships/image" Target="media/image1982.png"/><Relationship Id="rId1993" Type="http://schemas.openxmlformats.org/officeDocument/2006/relationships/image" Target="media/image1983.png"/><Relationship Id="rId1994" Type="http://schemas.openxmlformats.org/officeDocument/2006/relationships/image" Target="media/image1984.png"/><Relationship Id="rId1995" Type="http://schemas.openxmlformats.org/officeDocument/2006/relationships/image" Target="media/image1985.png"/><Relationship Id="rId1996" Type="http://schemas.openxmlformats.org/officeDocument/2006/relationships/image" Target="media/image1986.png"/><Relationship Id="rId1997" Type="http://schemas.openxmlformats.org/officeDocument/2006/relationships/image" Target="media/image1987.png"/><Relationship Id="rId1998" Type="http://schemas.openxmlformats.org/officeDocument/2006/relationships/image" Target="media/image1988.png"/><Relationship Id="rId1999" Type="http://schemas.openxmlformats.org/officeDocument/2006/relationships/image" Target="media/image1989.png"/><Relationship Id="rId2000" Type="http://schemas.openxmlformats.org/officeDocument/2006/relationships/image" Target="media/image1990.png"/><Relationship Id="rId2001" Type="http://schemas.openxmlformats.org/officeDocument/2006/relationships/image" Target="media/image1991.png"/><Relationship Id="rId2002" Type="http://schemas.openxmlformats.org/officeDocument/2006/relationships/image" Target="media/image1992.png"/><Relationship Id="rId2003" Type="http://schemas.openxmlformats.org/officeDocument/2006/relationships/image" Target="media/image1993.png"/><Relationship Id="rId2004" Type="http://schemas.openxmlformats.org/officeDocument/2006/relationships/image" Target="media/image1994.png"/><Relationship Id="rId2005" Type="http://schemas.openxmlformats.org/officeDocument/2006/relationships/image" Target="media/image1995.png"/><Relationship Id="rId2006" Type="http://schemas.openxmlformats.org/officeDocument/2006/relationships/image" Target="media/image1996.png"/><Relationship Id="rId2007" Type="http://schemas.openxmlformats.org/officeDocument/2006/relationships/image" Target="media/image1997.png"/><Relationship Id="rId2008" Type="http://schemas.openxmlformats.org/officeDocument/2006/relationships/image" Target="media/image1998.png"/><Relationship Id="rId2009" Type="http://schemas.openxmlformats.org/officeDocument/2006/relationships/image" Target="media/image1999.png"/><Relationship Id="rId2010" Type="http://schemas.openxmlformats.org/officeDocument/2006/relationships/image" Target="media/image2000.png"/><Relationship Id="rId2011" Type="http://schemas.openxmlformats.org/officeDocument/2006/relationships/image" Target="media/image2001.png"/><Relationship Id="rId2012" Type="http://schemas.openxmlformats.org/officeDocument/2006/relationships/image" Target="media/image2002.png"/><Relationship Id="rId2013" Type="http://schemas.openxmlformats.org/officeDocument/2006/relationships/image" Target="media/image2003.png"/><Relationship Id="rId2014" Type="http://schemas.openxmlformats.org/officeDocument/2006/relationships/image" Target="media/image2004.png"/><Relationship Id="rId2015" Type="http://schemas.openxmlformats.org/officeDocument/2006/relationships/image" Target="media/image2005.png"/><Relationship Id="rId2016" Type="http://schemas.openxmlformats.org/officeDocument/2006/relationships/image" Target="media/image2006.png"/><Relationship Id="rId2017" Type="http://schemas.openxmlformats.org/officeDocument/2006/relationships/image" Target="media/image2007.png"/><Relationship Id="rId2018" Type="http://schemas.openxmlformats.org/officeDocument/2006/relationships/image" Target="media/image2008.png"/><Relationship Id="rId2019" Type="http://schemas.openxmlformats.org/officeDocument/2006/relationships/image" Target="media/image2009.png"/><Relationship Id="rId2020" Type="http://schemas.openxmlformats.org/officeDocument/2006/relationships/image" Target="media/image2010.png"/><Relationship Id="rId2021" Type="http://schemas.openxmlformats.org/officeDocument/2006/relationships/image" Target="media/image2011.png"/><Relationship Id="rId2022" Type="http://schemas.openxmlformats.org/officeDocument/2006/relationships/image" Target="media/image2012.png"/><Relationship Id="rId2023" Type="http://schemas.openxmlformats.org/officeDocument/2006/relationships/image" Target="media/image2013.png"/><Relationship Id="rId2024" Type="http://schemas.openxmlformats.org/officeDocument/2006/relationships/image" Target="media/image2014.png"/><Relationship Id="rId2025" Type="http://schemas.openxmlformats.org/officeDocument/2006/relationships/image" Target="media/image2015.png"/><Relationship Id="rId2026" Type="http://schemas.openxmlformats.org/officeDocument/2006/relationships/image" Target="media/image2016.png"/><Relationship Id="rId2027" Type="http://schemas.openxmlformats.org/officeDocument/2006/relationships/image" Target="media/image2017.png"/><Relationship Id="rId2028" Type="http://schemas.openxmlformats.org/officeDocument/2006/relationships/image" Target="media/image2018.png"/><Relationship Id="rId2029" Type="http://schemas.openxmlformats.org/officeDocument/2006/relationships/image" Target="media/image2019.png"/><Relationship Id="rId2030" Type="http://schemas.openxmlformats.org/officeDocument/2006/relationships/image" Target="media/image2020.png"/><Relationship Id="rId2031" Type="http://schemas.openxmlformats.org/officeDocument/2006/relationships/image" Target="media/image2021.png"/><Relationship Id="rId2032" Type="http://schemas.openxmlformats.org/officeDocument/2006/relationships/image" Target="media/image2022.png"/><Relationship Id="rId2033" Type="http://schemas.openxmlformats.org/officeDocument/2006/relationships/image" Target="media/image2023.png"/><Relationship Id="rId2034" Type="http://schemas.openxmlformats.org/officeDocument/2006/relationships/image" Target="media/image2024.png"/><Relationship Id="rId2035" Type="http://schemas.openxmlformats.org/officeDocument/2006/relationships/image" Target="media/image2025.png"/><Relationship Id="rId2036" Type="http://schemas.openxmlformats.org/officeDocument/2006/relationships/image" Target="media/image2026.png"/><Relationship Id="rId2037" Type="http://schemas.openxmlformats.org/officeDocument/2006/relationships/image" Target="media/image2027.png"/><Relationship Id="rId2038" Type="http://schemas.openxmlformats.org/officeDocument/2006/relationships/image" Target="media/image2028.png"/><Relationship Id="rId2039" Type="http://schemas.openxmlformats.org/officeDocument/2006/relationships/image" Target="media/image2029.png"/><Relationship Id="rId2040" Type="http://schemas.openxmlformats.org/officeDocument/2006/relationships/image" Target="media/image2030.png"/><Relationship Id="rId2041" Type="http://schemas.openxmlformats.org/officeDocument/2006/relationships/image" Target="media/image2031.png"/><Relationship Id="rId2042" Type="http://schemas.openxmlformats.org/officeDocument/2006/relationships/image" Target="media/image2032.png"/><Relationship Id="rId2043" Type="http://schemas.openxmlformats.org/officeDocument/2006/relationships/image" Target="media/image2033.png"/><Relationship Id="rId2044" Type="http://schemas.openxmlformats.org/officeDocument/2006/relationships/image" Target="media/image2034.png"/><Relationship Id="rId2045" Type="http://schemas.openxmlformats.org/officeDocument/2006/relationships/image" Target="media/image2035.png"/><Relationship Id="rId2046" Type="http://schemas.openxmlformats.org/officeDocument/2006/relationships/image" Target="media/image2036.png"/><Relationship Id="rId2047" Type="http://schemas.openxmlformats.org/officeDocument/2006/relationships/image" Target="media/image2037.png"/><Relationship Id="rId2048" Type="http://schemas.openxmlformats.org/officeDocument/2006/relationships/image" Target="media/image2038.png"/><Relationship Id="rId2049" Type="http://schemas.openxmlformats.org/officeDocument/2006/relationships/image" Target="media/image2039.png"/><Relationship Id="rId2050" Type="http://schemas.openxmlformats.org/officeDocument/2006/relationships/image" Target="media/image2040.png"/><Relationship Id="rId2051" Type="http://schemas.openxmlformats.org/officeDocument/2006/relationships/image" Target="media/image2041.png"/><Relationship Id="rId2052" Type="http://schemas.openxmlformats.org/officeDocument/2006/relationships/image" Target="media/image2042.png"/><Relationship Id="rId2053" Type="http://schemas.openxmlformats.org/officeDocument/2006/relationships/image" Target="media/image2043.png"/><Relationship Id="rId2054" Type="http://schemas.openxmlformats.org/officeDocument/2006/relationships/image" Target="media/image2044.png"/><Relationship Id="rId2055" Type="http://schemas.openxmlformats.org/officeDocument/2006/relationships/image" Target="media/image2045.png"/><Relationship Id="rId2056" Type="http://schemas.openxmlformats.org/officeDocument/2006/relationships/image" Target="media/image2046.png"/><Relationship Id="rId2057" Type="http://schemas.openxmlformats.org/officeDocument/2006/relationships/image" Target="media/image2047.png"/><Relationship Id="rId2058" Type="http://schemas.openxmlformats.org/officeDocument/2006/relationships/image" Target="media/image2048.png"/><Relationship Id="rId2059" Type="http://schemas.openxmlformats.org/officeDocument/2006/relationships/image" Target="media/image2049.png"/><Relationship Id="rId2060" Type="http://schemas.openxmlformats.org/officeDocument/2006/relationships/image" Target="media/image2050.png"/><Relationship Id="rId2061" Type="http://schemas.openxmlformats.org/officeDocument/2006/relationships/image" Target="media/image2051.png"/><Relationship Id="rId2062" Type="http://schemas.openxmlformats.org/officeDocument/2006/relationships/image" Target="media/image2052.png"/><Relationship Id="rId2063" Type="http://schemas.openxmlformats.org/officeDocument/2006/relationships/image" Target="media/image2053.png"/><Relationship Id="rId2064" Type="http://schemas.openxmlformats.org/officeDocument/2006/relationships/image" Target="media/image2054.png"/><Relationship Id="rId2065" Type="http://schemas.openxmlformats.org/officeDocument/2006/relationships/image" Target="media/image2055.png"/><Relationship Id="rId2066" Type="http://schemas.openxmlformats.org/officeDocument/2006/relationships/image" Target="media/image2056.png"/><Relationship Id="rId2067" Type="http://schemas.openxmlformats.org/officeDocument/2006/relationships/image" Target="media/image2057.png"/><Relationship Id="rId2068" Type="http://schemas.openxmlformats.org/officeDocument/2006/relationships/image" Target="media/image2058.png"/><Relationship Id="rId2069" Type="http://schemas.openxmlformats.org/officeDocument/2006/relationships/image" Target="media/image2059.png"/><Relationship Id="rId2070" Type="http://schemas.openxmlformats.org/officeDocument/2006/relationships/image" Target="media/image2060.png"/><Relationship Id="rId2071" Type="http://schemas.openxmlformats.org/officeDocument/2006/relationships/image" Target="media/image2061.png"/><Relationship Id="rId2072" Type="http://schemas.openxmlformats.org/officeDocument/2006/relationships/image" Target="media/image2062.png"/><Relationship Id="rId2073" Type="http://schemas.openxmlformats.org/officeDocument/2006/relationships/image" Target="media/image2063.png"/><Relationship Id="rId2074" Type="http://schemas.openxmlformats.org/officeDocument/2006/relationships/image" Target="media/image2064.png"/><Relationship Id="rId2075" Type="http://schemas.openxmlformats.org/officeDocument/2006/relationships/image" Target="media/image2065.png"/><Relationship Id="rId2076" Type="http://schemas.openxmlformats.org/officeDocument/2006/relationships/image" Target="media/image2066.png"/><Relationship Id="rId2077" Type="http://schemas.openxmlformats.org/officeDocument/2006/relationships/image" Target="media/image2067.png"/><Relationship Id="rId2078" Type="http://schemas.openxmlformats.org/officeDocument/2006/relationships/image" Target="media/image2068.png"/><Relationship Id="rId2079" Type="http://schemas.openxmlformats.org/officeDocument/2006/relationships/image" Target="media/image2069.png"/><Relationship Id="rId2080" Type="http://schemas.openxmlformats.org/officeDocument/2006/relationships/image" Target="media/image2070.png"/><Relationship Id="rId2081" Type="http://schemas.openxmlformats.org/officeDocument/2006/relationships/image" Target="media/image2071.png"/><Relationship Id="rId2082" Type="http://schemas.openxmlformats.org/officeDocument/2006/relationships/image" Target="media/image2072.png"/><Relationship Id="rId2083" Type="http://schemas.openxmlformats.org/officeDocument/2006/relationships/image" Target="media/image2073.png"/><Relationship Id="rId2084" Type="http://schemas.openxmlformats.org/officeDocument/2006/relationships/image" Target="media/image2074.png"/><Relationship Id="rId2085" Type="http://schemas.openxmlformats.org/officeDocument/2006/relationships/image" Target="media/image2075.png"/><Relationship Id="rId2086" Type="http://schemas.openxmlformats.org/officeDocument/2006/relationships/image" Target="media/image2076.png"/><Relationship Id="rId2087" Type="http://schemas.openxmlformats.org/officeDocument/2006/relationships/image" Target="media/image2077.png"/><Relationship Id="rId2088" Type="http://schemas.openxmlformats.org/officeDocument/2006/relationships/image" Target="media/image2078.png"/><Relationship Id="rId2089" Type="http://schemas.openxmlformats.org/officeDocument/2006/relationships/image" Target="media/image2079.png"/><Relationship Id="rId2090" Type="http://schemas.openxmlformats.org/officeDocument/2006/relationships/image" Target="media/image2080.png"/><Relationship Id="rId2091" Type="http://schemas.openxmlformats.org/officeDocument/2006/relationships/image" Target="media/image2081.png"/><Relationship Id="rId2092" Type="http://schemas.openxmlformats.org/officeDocument/2006/relationships/image" Target="media/image2082.png"/><Relationship Id="rId2093" Type="http://schemas.openxmlformats.org/officeDocument/2006/relationships/image" Target="media/image2083.png"/><Relationship Id="rId2094" Type="http://schemas.openxmlformats.org/officeDocument/2006/relationships/image" Target="media/image2084.png"/><Relationship Id="rId2095" Type="http://schemas.openxmlformats.org/officeDocument/2006/relationships/image" Target="media/image2085.png"/><Relationship Id="rId2096" Type="http://schemas.openxmlformats.org/officeDocument/2006/relationships/image" Target="media/image2086.png"/><Relationship Id="rId2097" Type="http://schemas.openxmlformats.org/officeDocument/2006/relationships/image" Target="media/image2087.png"/><Relationship Id="rId2098" Type="http://schemas.openxmlformats.org/officeDocument/2006/relationships/image" Target="media/image2088.png"/><Relationship Id="rId2099" Type="http://schemas.openxmlformats.org/officeDocument/2006/relationships/image" Target="media/image2089.png"/><Relationship Id="rId2100" Type="http://schemas.openxmlformats.org/officeDocument/2006/relationships/image" Target="media/image2090.png"/><Relationship Id="rId2101" Type="http://schemas.openxmlformats.org/officeDocument/2006/relationships/image" Target="media/image2091.png"/><Relationship Id="rId2102" Type="http://schemas.openxmlformats.org/officeDocument/2006/relationships/image" Target="media/image2092.png"/><Relationship Id="rId2103" Type="http://schemas.openxmlformats.org/officeDocument/2006/relationships/image" Target="media/image2093.png"/><Relationship Id="rId2104" Type="http://schemas.openxmlformats.org/officeDocument/2006/relationships/image" Target="media/image2094.png"/><Relationship Id="rId2105" Type="http://schemas.openxmlformats.org/officeDocument/2006/relationships/image" Target="media/image2095.png"/><Relationship Id="rId2106" Type="http://schemas.openxmlformats.org/officeDocument/2006/relationships/image" Target="media/image2096.png"/><Relationship Id="rId2107" Type="http://schemas.openxmlformats.org/officeDocument/2006/relationships/image" Target="media/image2097.png"/><Relationship Id="rId2108" Type="http://schemas.openxmlformats.org/officeDocument/2006/relationships/image" Target="media/image2098.png"/><Relationship Id="rId2109" Type="http://schemas.openxmlformats.org/officeDocument/2006/relationships/image" Target="media/image2099.png"/><Relationship Id="rId2110" Type="http://schemas.openxmlformats.org/officeDocument/2006/relationships/image" Target="media/image2100.png"/><Relationship Id="rId2111" Type="http://schemas.openxmlformats.org/officeDocument/2006/relationships/image" Target="media/image2101.png"/><Relationship Id="rId2112" Type="http://schemas.openxmlformats.org/officeDocument/2006/relationships/image" Target="media/image2102.png"/><Relationship Id="rId2113" Type="http://schemas.openxmlformats.org/officeDocument/2006/relationships/image" Target="media/image2103.png"/><Relationship Id="rId2114" Type="http://schemas.openxmlformats.org/officeDocument/2006/relationships/image" Target="media/image2104.png"/><Relationship Id="rId2115" Type="http://schemas.openxmlformats.org/officeDocument/2006/relationships/image" Target="media/image2105.png"/><Relationship Id="rId2116" Type="http://schemas.openxmlformats.org/officeDocument/2006/relationships/image" Target="media/image2106.png"/><Relationship Id="rId2117" Type="http://schemas.openxmlformats.org/officeDocument/2006/relationships/image" Target="media/image2107.png"/><Relationship Id="rId2118" Type="http://schemas.openxmlformats.org/officeDocument/2006/relationships/image" Target="media/image2108.png"/><Relationship Id="rId2119" Type="http://schemas.openxmlformats.org/officeDocument/2006/relationships/image" Target="media/image2109.png"/><Relationship Id="rId2120" Type="http://schemas.openxmlformats.org/officeDocument/2006/relationships/image" Target="media/image2110.png"/><Relationship Id="rId2121" Type="http://schemas.openxmlformats.org/officeDocument/2006/relationships/image" Target="media/image2111.png"/><Relationship Id="rId2122" Type="http://schemas.openxmlformats.org/officeDocument/2006/relationships/image" Target="media/image2112.png"/><Relationship Id="rId2123" Type="http://schemas.openxmlformats.org/officeDocument/2006/relationships/image" Target="media/image2113.png"/><Relationship Id="rId2124" Type="http://schemas.openxmlformats.org/officeDocument/2006/relationships/image" Target="media/image2114.png"/><Relationship Id="rId2125" Type="http://schemas.openxmlformats.org/officeDocument/2006/relationships/image" Target="media/image2115.png"/><Relationship Id="rId2126" Type="http://schemas.openxmlformats.org/officeDocument/2006/relationships/image" Target="media/image2116.png"/><Relationship Id="rId2127" Type="http://schemas.openxmlformats.org/officeDocument/2006/relationships/image" Target="media/image2117.png"/><Relationship Id="rId2128" Type="http://schemas.openxmlformats.org/officeDocument/2006/relationships/image" Target="media/image2118.png"/><Relationship Id="rId2129" Type="http://schemas.openxmlformats.org/officeDocument/2006/relationships/image" Target="media/image2119.png"/><Relationship Id="rId2130" Type="http://schemas.openxmlformats.org/officeDocument/2006/relationships/image" Target="media/image2120.png"/><Relationship Id="rId2131" Type="http://schemas.openxmlformats.org/officeDocument/2006/relationships/image" Target="media/image2121.png"/><Relationship Id="rId2132" Type="http://schemas.openxmlformats.org/officeDocument/2006/relationships/image" Target="media/image2122.png"/><Relationship Id="rId2133" Type="http://schemas.openxmlformats.org/officeDocument/2006/relationships/image" Target="media/image2123.png"/><Relationship Id="rId2134" Type="http://schemas.openxmlformats.org/officeDocument/2006/relationships/image" Target="media/image2124.png"/><Relationship Id="rId2135" Type="http://schemas.openxmlformats.org/officeDocument/2006/relationships/image" Target="media/image2125.png"/><Relationship Id="rId2136" Type="http://schemas.openxmlformats.org/officeDocument/2006/relationships/image" Target="media/image2126.png"/><Relationship Id="rId2137" Type="http://schemas.openxmlformats.org/officeDocument/2006/relationships/image" Target="media/image2127.png"/><Relationship Id="rId2138" Type="http://schemas.openxmlformats.org/officeDocument/2006/relationships/image" Target="media/image2128.png"/><Relationship Id="rId2139" Type="http://schemas.openxmlformats.org/officeDocument/2006/relationships/image" Target="media/image2129.png"/><Relationship Id="rId2140" Type="http://schemas.openxmlformats.org/officeDocument/2006/relationships/image" Target="media/image2130.png"/><Relationship Id="rId2141" Type="http://schemas.openxmlformats.org/officeDocument/2006/relationships/image" Target="media/image2131.png"/><Relationship Id="rId2142" Type="http://schemas.openxmlformats.org/officeDocument/2006/relationships/image" Target="media/image2132.png"/><Relationship Id="rId2143" Type="http://schemas.openxmlformats.org/officeDocument/2006/relationships/image" Target="media/image2133.png"/><Relationship Id="rId2144" Type="http://schemas.openxmlformats.org/officeDocument/2006/relationships/image" Target="media/image2134.png"/><Relationship Id="rId2145" Type="http://schemas.openxmlformats.org/officeDocument/2006/relationships/image" Target="media/image2135.png"/><Relationship Id="rId2146" Type="http://schemas.openxmlformats.org/officeDocument/2006/relationships/image" Target="media/image2136.png"/><Relationship Id="rId2147" Type="http://schemas.openxmlformats.org/officeDocument/2006/relationships/image" Target="media/image2137.png"/><Relationship Id="rId2148" Type="http://schemas.openxmlformats.org/officeDocument/2006/relationships/image" Target="media/image2138.png"/><Relationship Id="rId2149" Type="http://schemas.openxmlformats.org/officeDocument/2006/relationships/image" Target="media/image2139.png"/><Relationship Id="rId2150" Type="http://schemas.openxmlformats.org/officeDocument/2006/relationships/image" Target="media/image2140.png"/><Relationship Id="rId2151" Type="http://schemas.openxmlformats.org/officeDocument/2006/relationships/image" Target="media/image2141.png"/><Relationship Id="rId2152" Type="http://schemas.openxmlformats.org/officeDocument/2006/relationships/image" Target="media/image2142.png"/><Relationship Id="rId2153" Type="http://schemas.openxmlformats.org/officeDocument/2006/relationships/image" Target="media/image2143.png"/><Relationship Id="rId2154" Type="http://schemas.openxmlformats.org/officeDocument/2006/relationships/image" Target="media/image2144.png"/><Relationship Id="rId2155" Type="http://schemas.openxmlformats.org/officeDocument/2006/relationships/image" Target="media/image2145.png"/><Relationship Id="rId2156" Type="http://schemas.openxmlformats.org/officeDocument/2006/relationships/image" Target="media/image2146.png"/><Relationship Id="rId2157" Type="http://schemas.openxmlformats.org/officeDocument/2006/relationships/image" Target="media/image2147.png"/><Relationship Id="rId2158" Type="http://schemas.openxmlformats.org/officeDocument/2006/relationships/image" Target="media/image2148.png"/><Relationship Id="rId2159" Type="http://schemas.openxmlformats.org/officeDocument/2006/relationships/image" Target="media/image2149.png"/><Relationship Id="rId2160" Type="http://schemas.openxmlformats.org/officeDocument/2006/relationships/image" Target="media/image2150.png"/><Relationship Id="rId2161" Type="http://schemas.openxmlformats.org/officeDocument/2006/relationships/image" Target="media/image2151.png"/><Relationship Id="rId2162" Type="http://schemas.openxmlformats.org/officeDocument/2006/relationships/image" Target="media/image2152.png"/><Relationship Id="rId2163" Type="http://schemas.openxmlformats.org/officeDocument/2006/relationships/image" Target="media/image2153.png"/><Relationship Id="rId2164" Type="http://schemas.openxmlformats.org/officeDocument/2006/relationships/image" Target="media/image2154.png"/><Relationship Id="rId2165" Type="http://schemas.openxmlformats.org/officeDocument/2006/relationships/image" Target="media/image2155.png"/><Relationship Id="rId2166" Type="http://schemas.openxmlformats.org/officeDocument/2006/relationships/image" Target="media/image2156.png"/><Relationship Id="rId2167" Type="http://schemas.openxmlformats.org/officeDocument/2006/relationships/image" Target="media/image2157.png"/><Relationship Id="rId2168" Type="http://schemas.openxmlformats.org/officeDocument/2006/relationships/image" Target="media/image2158.png"/><Relationship Id="rId117" Type="http://schemas.openxmlformats.org/officeDocument/2006/relationships/hyperlink" Target="https://www.sec.gov/Archives/edgar/data/1103982/000119312522049955/d320598dex101.htm" TargetMode="External"/><Relationship Id="rId118" Type="http://schemas.openxmlformats.org/officeDocument/2006/relationships/hyperlink" Target="https://www.sec.gov/Archives/edgar/data/1103982/000119312522049955/d320598dex102.htm" TargetMode="External"/><Relationship Id="rId119" Type="http://schemas.openxmlformats.org/officeDocument/2006/relationships/hyperlink" Target="https://www.sec.gov/Archives/edgar/data/1103982/000119312522091948/d3204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2022-04-26T15:55:55Z</dcterms:created>
  <dcterms:modified xsi:type="dcterms:W3CDTF">2022-04-26T15:55:55Z</dcterms:modified>
</cp:coreProperties>
</file>